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7A4254" w:rsidP="007A4254">
      <w:pPr>
        <w:widowControl w:val="0"/>
        <w:autoSpaceDE w:val="0"/>
        <w:spacing w:after="0" w:line="200" w:lineRule="exact"/>
        <w:rPr>
          <w:rFonts w:ascii="Times New Roman" w:hAnsi="Times New Roman"/>
          <w:sz w:val="24"/>
          <w:szCs w:val="24"/>
        </w:rPr>
      </w:pPr>
      <w:bookmarkStart w:id="0" w:name="_GoBack"/>
      <w:bookmarkEnd w:id="0"/>
      <w:r>
        <w:rPr>
          <w:noProof/>
        </w:rPr>
        <w:drawing>
          <wp:anchor distT="0" distB="0" distL="114935" distR="114935" simplePos="0" relativeHeight="251671552" behindDoc="1" locked="0" layoutInCell="1" allowOverlap="1">
            <wp:simplePos x="0" y="0"/>
            <wp:positionH relativeFrom="page">
              <wp:posOffset>0</wp:posOffset>
            </wp:positionH>
            <wp:positionV relativeFrom="page">
              <wp:posOffset>0</wp:posOffset>
            </wp:positionV>
            <wp:extent cx="7879080" cy="1696085"/>
            <wp:effectExtent l="0" t="0" r="0" b="0"/>
            <wp:wrapNone/>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3735" name="Picture 14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9080" cy="16960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1" w:name="page1"/>
      <w:bookmarkStart w:id="2" w:name="page4"/>
      <w:bookmarkEnd w:id="1"/>
      <w:bookmarkEnd w:id="2"/>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200" w:lineRule="exact"/>
        <w:rPr>
          <w:rFonts w:ascii="Times New Roman" w:hAnsi="Times New Roman"/>
          <w:sz w:val="24"/>
          <w:szCs w:val="24"/>
        </w:rPr>
      </w:pPr>
    </w:p>
    <w:p w:rsidR="007A4254" w:rsidP="007A4254">
      <w:pPr>
        <w:widowControl w:val="0"/>
        <w:autoSpaceDE w:val="0"/>
        <w:spacing w:after="0" w:line="377" w:lineRule="exact"/>
        <w:rPr>
          <w:rFonts w:ascii="Times New Roman" w:hAnsi="Times New Roman"/>
          <w:sz w:val="24"/>
          <w:szCs w:val="24"/>
        </w:rPr>
      </w:pPr>
    </w:p>
    <w:p w:rsidR="007A4254" w:rsidP="007A4254">
      <w:pPr>
        <w:widowControl w:val="0"/>
        <w:autoSpaceDE w:val="0"/>
        <w:spacing w:after="0" w:line="240" w:lineRule="auto"/>
        <w:rPr>
          <w:rFonts w:ascii="Times New Roman" w:hAnsi="Times New Roman"/>
          <w:sz w:val="24"/>
          <w:szCs w:val="24"/>
          <w:shd w:val="clear" w:color="auto" w:fill="FFFFFF"/>
        </w:rPr>
      </w:pPr>
      <w:r>
        <w:rPr>
          <w:rFonts w:ascii="Arial" w:hAnsi="Arial" w:cs="Arial"/>
          <w:color w:val="291466"/>
          <w:sz w:val="86"/>
          <w:szCs w:val="86"/>
          <w:shd w:val="clear" w:color="auto" w:fill="FFFFFF"/>
        </w:rPr>
        <w:t>HİNDİSTAN</w:t>
      </w:r>
      <w:r>
        <w:rPr>
          <w:rFonts w:ascii="Arial" w:hAnsi="Arial" w:cs="Arial"/>
          <w:color w:val="828282"/>
          <w:sz w:val="86"/>
          <w:szCs w:val="86"/>
          <w:shd w:val="clear" w:color="auto" w:fill="FFFFFF"/>
        </w:rPr>
        <w:t>-</w:t>
      </w:r>
      <w:r>
        <w:rPr>
          <w:rFonts w:ascii="Arial" w:hAnsi="Arial" w:cs="Arial"/>
          <w:color w:val="D9261C"/>
          <w:sz w:val="86"/>
          <w:szCs w:val="86"/>
          <w:shd w:val="clear" w:color="auto" w:fill="FFFFFF"/>
        </w:rPr>
        <w:t>TÜRKİYE</w:t>
      </w:r>
    </w:p>
    <w:p w:rsidR="007A4254" w:rsidP="007A4254">
      <w:pPr>
        <w:widowControl w:val="0"/>
        <w:autoSpaceDE w:val="0"/>
        <w:spacing w:after="0" w:line="327" w:lineRule="exact"/>
        <w:rPr>
          <w:rFonts w:ascii="Times New Roman" w:hAnsi="Times New Roman"/>
          <w:sz w:val="24"/>
          <w:szCs w:val="24"/>
          <w:shd w:val="clear" w:color="auto" w:fill="FFFFFF"/>
        </w:rPr>
      </w:pPr>
    </w:p>
    <w:p w:rsidR="007A4254" w:rsidP="007A4254">
      <w:pPr>
        <w:widowControl w:val="0"/>
        <w:autoSpaceDE w:val="0"/>
        <w:spacing w:after="0" w:line="240" w:lineRule="auto"/>
        <w:ind w:left="80"/>
        <w:rPr>
          <w:rFonts w:ascii="Times New Roman" w:hAnsi="Times New Roman"/>
          <w:sz w:val="24"/>
          <w:szCs w:val="24"/>
          <w:shd w:val="clear" w:color="auto" w:fill="FFFFFF"/>
        </w:rPr>
      </w:pPr>
      <w:r>
        <w:rPr>
          <w:rFonts w:ascii="Arial" w:hAnsi="Arial" w:cs="Arial"/>
          <w:color w:val="1F1A17"/>
          <w:sz w:val="39"/>
          <w:szCs w:val="39"/>
          <w:shd w:val="clear" w:color="auto" w:fill="FFFFFF"/>
        </w:rPr>
        <w:t>Ticari ve Ekonomik İlişkiler</w:t>
      </w:r>
    </w:p>
    <w:p w:rsidR="007A4254" w:rsidP="007A4254">
      <w:pPr>
        <w:widowControl w:val="0"/>
        <w:autoSpaceDE w:val="0"/>
        <w:spacing w:after="0" w:line="62" w:lineRule="exact"/>
        <w:rPr>
          <w:rFonts w:ascii="Times New Roman" w:hAnsi="Times New Roman"/>
          <w:sz w:val="24"/>
          <w:szCs w:val="24"/>
          <w:shd w:val="clear" w:color="auto" w:fill="FFFFFF"/>
        </w:rPr>
      </w:pPr>
    </w:p>
    <w:p w:rsidR="007A4254" w:rsidP="007A4254">
      <w:pPr>
        <w:widowControl w:val="0"/>
        <w:autoSpaceDE w:val="0"/>
        <w:spacing w:after="0" w:line="240" w:lineRule="auto"/>
        <w:ind w:left="1280"/>
        <w:rPr>
          <w:rFonts w:ascii="Times New Roman" w:hAnsi="Times New Roman"/>
          <w:sz w:val="24"/>
          <w:szCs w:val="24"/>
          <w:shd w:val="clear" w:color="auto" w:fill="FFFFFF"/>
        </w:rPr>
      </w:pPr>
      <w:r>
        <w:rPr>
          <w:rFonts w:ascii="Arial" w:hAnsi="Arial" w:cs="Arial"/>
          <w:color w:val="1F1A17"/>
          <w:sz w:val="39"/>
          <w:szCs w:val="39"/>
          <w:shd w:val="clear" w:color="auto" w:fill="FFFFFF"/>
        </w:rPr>
        <w:t>Geleceğe dair Beklentiler</w:t>
      </w:r>
    </w:p>
    <w:p w:rsidR="007A4254" w:rsidP="007A4254">
      <w:pPr>
        <w:widowControl w:val="0"/>
        <w:autoSpaceDE w:val="0"/>
        <w:spacing w:after="0" w:line="188" w:lineRule="exact"/>
        <w:rPr>
          <w:rFonts w:ascii="Times New Roman" w:hAnsi="Times New Roman"/>
          <w:sz w:val="24"/>
          <w:szCs w:val="24"/>
          <w:shd w:val="clear" w:color="auto" w:fill="FFFFFF"/>
        </w:rPr>
      </w:pPr>
    </w:p>
    <w:p w:rsidR="007A4254" w:rsidP="007A4254">
      <w:pPr>
        <w:widowControl w:val="0"/>
        <w:autoSpaceDE w:val="0"/>
        <w:spacing w:after="0" w:line="240" w:lineRule="auto"/>
        <w:ind w:left="4300"/>
        <w:rPr>
          <w:rFonts w:ascii="Times New Roman" w:hAnsi="Times New Roman"/>
          <w:sz w:val="24"/>
          <w:szCs w:val="24"/>
          <w:shd w:val="clear" w:color="auto" w:fill="FFFFFF"/>
        </w:rPr>
      </w:pPr>
      <w:r>
        <w:rPr>
          <w:rFonts w:ascii="Arial" w:hAnsi="Arial" w:cs="Arial"/>
          <w:color w:val="1F1A17"/>
          <w:sz w:val="28"/>
          <w:szCs w:val="28"/>
          <w:shd w:val="clear" w:color="auto" w:fill="FFFFFF"/>
        </w:rPr>
        <w:t>Ağustos 2014</w:t>
      </w:r>
    </w:p>
    <w:p w:rsidR="007A4254" w:rsidP="007A4254">
      <w:pPr>
        <w:widowControl w:val="0"/>
        <w:autoSpaceDE w:val="0"/>
        <w:spacing w:after="0" w:line="200" w:lineRule="exact"/>
        <w:rPr>
          <w:rFonts w:ascii="Times New Roman" w:hAnsi="Times New Roman"/>
          <w:sz w:val="24"/>
          <w:szCs w:val="24"/>
          <w:shd w:val="clear" w:color="auto" w:fill="FFFFFF"/>
        </w:rPr>
      </w:pPr>
    </w:p>
    <w:p w:rsidR="007A4254" w:rsidP="007A4254">
      <w:pPr>
        <w:widowControl w:val="0"/>
        <w:autoSpaceDE w:val="0"/>
        <w:spacing w:after="0" w:line="200" w:lineRule="exact"/>
        <w:rPr>
          <w:rFonts w:ascii="Times New Roman" w:hAnsi="Times New Roman"/>
          <w:sz w:val="24"/>
          <w:szCs w:val="24"/>
          <w:shd w:val="clear" w:color="auto" w:fill="FFFFFF"/>
        </w:rPr>
      </w:pPr>
    </w:p>
    <w:p w:rsidR="007A4254" w:rsidP="007A4254">
      <w:pPr>
        <w:widowControl w:val="0"/>
        <w:autoSpaceDE w:val="0"/>
        <w:spacing w:after="0" w:line="200" w:lineRule="exact"/>
        <w:rPr>
          <w:rFonts w:ascii="Times New Roman" w:hAnsi="Times New Roman"/>
          <w:sz w:val="24"/>
          <w:szCs w:val="24"/>
          <w:shd w:val="clear" w:color="auto" w:fill="FFFFFF"/>
        </w:rPr>
      </w:pPr>
    </w:p>
    <w:p w:rsidR="007A4254" w:rsidP="007A4254">
      <w:pPr>
        <w:widowControl w:val="0"/>
        <w:autoSpaceDE w:val="0"/>
        <w:spacing w:after="0" w:line="331" w:lineRule="exact"/>
        <w:rPr>
          <w:rFonts w:ascii="Times New Roman" w:hAnsi="Times New Roman"/>
          <w:sz w:val="24"/>
          <w:szCs w:val="24"/>
          <w:shd w:val="clear" w:color="auto" w:fill="FFFFFF"/>
        </w:rPr>
      </w:pPr>
    </w:p>
    <w:p w:rsidR="007A4254" w:rsidP="007A4254">
      <w:pPr>
        <w:widowControl w:val="0"/>
        <w:autoSpaceDE w:val="0"/>
        <w:spacing w:after="0" w:line="240" w:lineRule="auto"/>
        <w:ind w:left="2740"/>
      </w:pPr>
      <w:r>
        <w:rPr>
          <w:rFonts w:ascii="Times New Roman" w:hAnsi="Times New Roman"/>
          <w:color w:val="1F1A17"/>
          <w:sz w:val="35"/>
          <w:szCs w:val="35"/>
          <w:shd w:val="clear" w:color="auto" w:fill="FFFFFF"/>
        </w:rPr>
        <w:t>Bilgi Raporu</w:t>
      </w:r>
    </w:p>
    <w:p w:rsidR="007A4254" w:rsidP="007A4254">
      <w:pPr>
        <w:rPr>
          <w:rFonts w:ascii="Times New Roman" w:hAnsi="Times New Roman"/>
          <w:sz w:val="24"/>
          <w:szCs w:val="24"/>
          <w:shd w:val="clear" w:color="auto" w:fill="FFFF00"/>
        </w:rPr>
        <w:sectPr>
          <w:pgSz w:w="12420" w:h="16180"/>
          <w:pgMar w:top="1440" w:right="960" w:bottom="1440" w:left="5380" w:header="708" w:footer="708" w:gutter="0"/>
          <w:cols w:space="708"/>
          <w:docGrid w:linePitch="600" w:charSpace="36864"/>
        </w:sectPr>
      </w:pPr>
      <w:r>
        <w:rPr>
          <w:noProof/>
        </w:rPr>
        <w:drawing>
          <wp:anchor distT="0" distB="0" distL="114935" distR="114935" simplePos="0" relativeHeight="251672576" behindDoc="1" locked="0" layoutInCell="1" allowOverlap="1">
            <wp:simplePos x="0" y="0"/>
            <wp:positionH relativeFrom="column">
              <wp:posOffset>-3415665</wp:posOffset>
            </wp:positionH>
            <wp:positionV relativeFrom="paragraph">
              <wp:posOffset>1562735</wp:posOffset>
            </wp:positionV>
            <wp:extent cx="7879080" cy="1639570"/>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82171" name="Picture 14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9080" cy="16395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A4254" w:rsidP="007A4254">
      <w:pPr>
        <w:widowControl w:val="0"/>
        <w:autoSpaceDE w:val="0"/>
        <w:spacing w:after="0" w:line="200" w:lineRule="exact"/>
        <w:rPr>
          <w:rFonts w:ascii="Times New Roman" w:hAnsi="Times New Roman"/>
          <w:sz w:val="24"/>
          <w:szCs w:val="24"/>
          <w:shd w:val="clear" w:color="auto" w:fill="FFFF00"/>
        </w:rPr>
      </w:pPr>
      <w:bookmarkStart w:id="3" w:name="page2"/>
      <w:bookmarkEnd w:id="3"/>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39" w:lineRule="exact"/>
        <w:rPr>
          <w:rFonts w:ascii="Times New Roman" w:hAnsi="Times New Roman"/>
          <w:sz w:val="24"/>
          <w:szCs w:val="24"/>
          <w:shd w:val="clear" w:color="auto" w:fill="FFFF00"/>
        </w:rPr>
      </w:pPr>
    </w:p>
    <w:tbl>
      <w:tblPr>
        <w:tblW w:w="0" w:type="auto"/>
        <w:tblLayout w:type="fixed"/>
        <w:tblCellMar>
          <w:left w:w="0" w:type="dxa"/>
          <w:right w:w="0" w:type="dxa"/>
        </w:tblCellMar>
        <w:tblLook w:val="0000"/>
      </w:tblPr>
      <w:tblGrid>
        <w:gridCol w:w="1418"/>
        <w:gridCol w:w="142"/>
        <w:gridCol w:w="7340"/>
      </w:tblGrid>
      <w:tr w:rsidTr="007A4254">
        <w:tblPrEx>
          <w:tblW w:w="0" w:type="auto"/>
          <w:tblLayout w:type="fixed"/>
          <w:tblCellMar>
            <w:left w:w="0" w:type="dxa"/>
            <w:right w:w="0" w:type="dxa"/>
          </w:tblCellMar>
          <w:tblLook w:val="0000"/>
        </w:tblPrEx>
        <w:trPr>
          <w:trHeight w:val="263"/>
        </w:trPr>
        <w:tc>
          <w:tcPr>
            <w:tcW w:w="1418" w:type="dxa"/>
            <w:shd w:val="clear" w:color="auto" w:fill="auto"/>
            <w:vAlign w:val="bottom"/>
          </w:tcPr>
          <w:p w:rsidR="007A4254" w:rsidP="007A4254">
            <w:pPr>
              <w:widowControl w:val="0"/>
              <w:autoSpaceDE w:val="0"/>
              <w:spacing w:after="0" w:line="240" w:lineRule="auto"/>
              <w:rPr>
                <w:rFonts w:ascii="Arial" w:hAnsi="Arial" w:cs="Arial"/>
                <w:color w:val="1F1A17"/>
                <w:shd w:val="clear" w:color="auto" w:fill="FFFFFF"/>
              </w:rPr>
            </w:pPr>
            <w:r>
              <w:rPr>
                <w:rFonts w:ascii="Arial" w:hAnsi="Arial" w:cs="Arial"/>
                <w:b/>
                <w:bCs/>
                <w:color w:val="0A408A"/>
                <w:shd w:val="clear" w:color="auto" w:fill="FFFFFF"/>
              </w:rPr>
              <w:t>Başlık</w:t>
            </w:r>
          </w:p>
        </w:tc>
        <w:tc>
          <w:tcPr>
            <w:tcW w:w="7482" w:type="dxa"/>
            <w:gridSpan w:val="2"/>
            <w:shd w:val="clear" w:color="auto" w:fill="auto"/>
            <w:vAlign w:val="bottom"/>
          </w:tcPr>
          <w:p w:rsidR="007A4254" w:rsidP="007A4254">
            <w:pPr>
              <w:widowControl w:val="0"/>
              <w:autoSpaceDE w:val="0"/>
              <w:spacing w:after="0" w:line="240" w:lineRule="auto"/>
            </w:pPr>
            <w:r>
              <w:rPr>
                <w:rFonts w:ascii="Arial" w:hAnsi="Arial" w:cs="Arial"/>
                <w:color w:val="1F1A17"/>
                <w:shd w:val="clear" w:color="auto" w:fill="FFFFFF"/>
              </w:rPr>
              <w:t xml:space="preserve">  :  Hindistan-Türkiye Ticari ve Ekonomik İlişkiler: Geleceğe dair Beklentiler</w:t>
            </w:r>
          </w:p>
        </w:tc>
      </w:tr>
      <w:tr w:rsidTr="007A4254">
        <w:tblPrEx>
          <w:tblW w:w="0" w:type="auto"/>
          <w:tblLayout w:type="fixed"/>
          <w:tblCellMar>
            <w:left w:w="0" w:type="dxa"/>
            <w:right w:w="0" w:type="dxa"/>
          </w:tblCellMar>
          <w:tblLook w:val="0000"/>
        </w:tblPrEx>
        <w:trPr>
          <w:trHeight w:val="520"/>
        </w:trPr>
        <w:tc>
          <w:tcPr>
            <w:tcW w:w="1418" w:type="dxa"/>
            <w:shd w:val="clear" w:color="auto" w:fill="auto"/>
            <w:vAlign w:val="bottom"/>
          </w:tcPr>
          <w:p w:rsidR="007A4254" w:rsidP="007A4254">
            <w:pPr>
              <w:widowControl w:val="0"/>
              <w:autoSpaceDE w:val="0"/>
              <w:spacing w:after="0" w:line="240" w:lineRule="auto"/>
              <w:rPr>
                <w:rFonts w:ascii="Arial" w:hAnsi="Arial" w:cs="Arial"/>
                <w:color w:val="1F1A17"/>
                <w:shd w:val="clear" w:color="auto" w:fill="FFFFFF"/>
              </w:rPr>
            </w:pPr>
            <w:r>
              <w:rPr>
                <w:rFonts w:ascii="Arial" w:hAnsi="Arial" w:cs="Arial"/>
                <w:b/>
                <w:bCs/>
                <w:color w:val="0A408A"/>
                <w:shd w:val="clear" w:color="auto" w:fill="FFFFFF"/>
              </w:rPr>
              <w:t>Yıl</w:t>
            </w:r>
          </w:p>
        </w:tc>
        <w:tc>
          <w:tcPr>
            <w:tcW w:w="142" w:type="dxa"/>
            <w:shd w:val="clear" w:color="auto" w:fill="auto"/>
            <w:vAlign w:val="bottom"/>
          </w:tcPr>
          <w:p w:rsidR="007A4254" w:rsidP="007A4254">
            <w:pPr>
              <w:widowControl w:val="0"/>
              <w:autoSpaceDE w:val="0"/>
              <w:spacing w:after="0" w:line="240" w:lineRule="auto"/>
              <w:ind w:left="200"/>
              <w:rPr>
                <w:rFonts w:ascii="Arial" w:hAnsi="Arial" w:cs="Arial"/>
                <w:color w:val="1F1A17"/>
                <w:shd w:val="clear" w:color="auto" w:fill="FFFFFF"/>
              </w:rPr>
            </w:pPr>
            <w:r>
              <w:rPr>
                <w:rFonts w:ascii="Arial" w:hAnsi="Arial" w:cs="Arial"/>
                <w:color w:val="1F1A17"/>
                <w:shd w:val="clear" w:color="auto" w:fill="FFFFFF"/>
              </w:rPr>
              <w:t>:</w:t>
            </w:r>
          </w:p>
        </w:tc>
        <w:tc>
          <w:tcPr>
            <w:tcW w:w="7340" w:type="dxa"/>
            <w:shd w:val="clear" w:color="auto" w:fill="auto"/>
            <w:vAlign w:val="bottom"/>
          </w:tcPr>
          <w:p w:rsidR="007A4254" w:rsidP="007A4254">
            <w:pPr>
              <w:widowControl w:val="0"/>
              <w:autoSpaceDE w:val="0"/>
              <w:spacing w:after="0" w:line="240" w:lineRule="auto"/>
            </w:pPr>
            <w:r>
              <w:rPr>
                <w:rFonts w:ascii="Arial" w:hAnsi="Arial" w:cs="Arial"/>
                <w:color w:val="1F1A17"/>
                <w:shd w:val="clear" w:color="auto" w:fill="FFFFFF"/>
              </w:rPr>
              <w:t>:  Ağustos 2014</w:t>
            </w:r>
          </w:p>
        </w:tc>
      </w:tr>
      <w:tr w:rsidTr="007A4254">
        <w:tblPrEx>
          <w:tblW w:w="0" w:type="auto"/>
          <w:tblLayout w:type="fixed"/>
          <w:tblCellMar>
            <w:left w:w="0" w:type="dxa"/>
            <w:right w:w="0" w:type="dxa"/>
          </w:tblCellMar>
          <w:tblLook w:val="0000"/>
        </w:tblPrEx>
        <w:trPr>
          <w:trHeight w:val="530"/>
        </w:trPr>
        <w:tc>
          <w:tcPr>
            <w:tcW w:w="1418" w:type="dxa"/>
            <w:shd w:val="clear" w:color="auto" w:fill="auto"/>
            <w:vAlign w:val="bottom"/>
          </w:tcPr>
          <w:p w:rsidR="007A4254" w:rsidP="007A4254">
            <w:pPr>
              <w:widowControl w:val="0"/>
              <w:autoSpaceDE w:val="0"/>
              <w:spacing w:after="0" w:line="240" w:lineRule="auto"/>
              <w:rPr>
                <w:rFonts w:ascii="Arial" w:hAnsi="Arial" w:cs="Arial"/>
                <w:color w:val="1F1A17"/>
                <w:shd w:val="clear" w:color="auto" w:fill="FFFFFF"/>
              </w:rPr>
            </w:pPr>
            <w:r>
              <w:rPr>
                <w:rFonts w:ascii="Arial" w:hAnsi="Arial" w:cs="Arial"/>
                <w:b/>
                <w:bCs/>
                <w:color w:val="0A408A"/>
                <w:shd w:val="clear" w:color="auto" w:fill="FFFFFF"/>
              </w:rPr>
              <w:t>Telif Hakkı</w:t>
            </w:r>
          </w:p>
        </w:tc>
        <w:tc>
          <w:tcPr>
            <w:tcW w:w="7482" w:type="dxa"/>
            <w:gridSpan w:val="2"/>
            <w:vMerge w:val="restart"/>
            <w:shd w:val="clear" w:color="auto" w:fill="auto"/>
            <w:vAlign w:val="bottom"/>
          </w:tcPr>
          <w:p w:rsidR="007A4254" w:rsidP="007A4254">
            <w:pPr>
              <w:widowControl w:val="0"/>
              <w:autoSpaceDE w:val="0"/>
              <w:snapToGrid w:val="0"/>
              <w:spacing w:after="0" w:line="240" w:lineRule="auto"/>
              <w:ind w:left="200"/>
              <w:rPr>
                <w:rFonts w:ascii="Arial" w:hAnsi="Arial" w:cs="Arial"/>
                <w:color w:val="1F1A17"/>
                <w:shd w:val="clear" w:color="auto" w:fill="FFFFFF"/>
              </w:rPr>
            </w:pPr>
          </w:p>
          <w:p w:rsidR="007A4254" w:rsidP="007A4254">
            <w:pPr>
              <w:widowControl w:val="0"/>
              <w:autoSpaceDE w:val="0"/>
              <w:spacing w:after="0" w:line="240" w:lineRule="auto"/>
              <w:ind w:left="180"/>
            </w:pPr>
            <w:r>
              <w:rPr>
                <w:rFonts w:ascii="Arial" w:hAnsi="Arial" w:cs="Arial"/>
                <w:color w:val="1F1A17"/>
                <w:shd w:val="clear" w:color="auto" w:fill="FFFFFF"/>
              </w:rPr>
              <w:t>: İşbu belgenin kısımları, FICCI’ın yazılı izni olmadan fotoğraf, fotoğraf baskı, mikrofilm veya diğer yöntemlerle çoğaltılamaz.</w:t>
            </w:r>
          </w:p>
        </w:tc>
      </w:tr>
      <w:tr w:rsidTr="007A4254">
        <w:tblPrEx>
          <w:tblW w:w="0" w:type="auto"/>
          <w:tblLayout w:type="fixed"/>
          <w:tblCellMar>
            <w:left w:w="0" w:type="dxa"/>
            <w:right w:w="0" w:type="dxa"/>
          </w:tblCellMar>
          <w:tblLook w:val="0000"/>
        </w:tblPrEx>
        <w:trPr>
          <w:trHeight w:val="300"/>
        </w:trPr>
        <w:tc>
          <w:tcPr>
            <w:tcW w:w="1418"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FF"/>
              </w:rPr>
            </w:pPr>
          </w:p>
        </w:tc>
        <w:tc>
          <w:tcPr>
            <w:tcW w:w="7482" w:type="dxa"/>
            <w:gridSpan w:val="2"/>
            <w:vMerge/>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FF"/>
              </w:rPr>
            </w:pPr>
          </w:p>
        </w:tc>
      </w:tr>
      <w:tr w:rsidTr="007A4254">
        <w:tblPrEx>
          <w:tblW w:w="0" w:type="auto"/>
          <w:tblLayout w:type="fixed"/>
          <w:tblCellMar>
            <w:left w:w="0" w:type="dxa"/>
            <w:right w:w="0" w:type="dxa"/>
          </w:tblCellMar>
          <w:tblLook w:val="0000"/>
        </w:tblPrEx>
        <w:trPr>
          <w:trHeight w:val="300"/>
        </w:trPr>
        <w:tc>
          <w:tcPr>
            <w:tcW w:w="1418"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FF"/>
              </w:rPr>
            </w:pPr>
          </w:p>
        </w:tc>
        <w:tc>
          <w:tcPr>
            <w:tcW w:w="142"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FF"/>
              </w:rPr>
            </w:pPr>
          </w:p>
        </w:tc>
        <w:tc>
          <w:tcPr>
            <w:tcW w:w="7340" w:type="dxa"/>
            <w:shd w:val="clear" w:color="auto" w:fill="auto"/>
            <w:vAlign w:val="bottom"/>
          </w:tcPr>
          <w:p w:rsidR="007A4254" w:rsidP="007A4254">
            <w:pPr>
              <w:widowControl w:val="0"/>
              <w:autoSpaceDE w:val="0"/>
              <w:snapToGrid w:val="0"/>
              <w:spacing w:after="0" w:line="240" w:lineRule="auto"/>
              <w:ind w:left="180"/>
              <w:rPr>
                <w:rFonts w:ascii="Arial" w:hAnsi="Arial" w:cs="Arial"/>
                <w:color w:val="1F1A17"/>
                <w:shd w:val="clear" w:color="auto" w:fill="FFFFFF"/>
              </w:rPr>
            </w:pPr>
          </w:p>
        </w:tc>
      </w:tr>
      <w:tr w:rsidTr="007A4254">
        <w:tblPrEx>
          <w:tblW w:w="0" w:type="auto"/>
          <w:tblLayout w:type="fixed"/>
          <w:tblCellMar>
            <w:left w:w="0" w:type="dxa"/>
            <w:right w:w="0" w:type="dxa"/>
          </w:tblCellMar>
          <w:tblLook w:val="0000"/>
        </w:tblPrEx>
        <w:trPr>
          <w:trHeight w:val="520"/>
        </w:trPr>
        <w:tc>
          <w:tcPr>
            <w:tcW w:w="1560" w:type="dxa"/>
            <w:gridSpan w:val="2"/>
            <w:shd w:val="clear" w:color="auto" w:fill="auto"/>
            <w:vAlign w:val="bottom"/>
          </w:tcPr>
          <w:p w:rsidR="007A4254" w:rsidP="007A4254">
            <w:pPr>
              <w:widowControl w:val="0"/>
              <w:autoSpaceDE w:val="0"/>
              <w:spacing w:after="0" w:line="240" w:lineRule="auto"/>
              <w:rPr>
                <w:rFonts w:ascii="Arial" w:hAnsi="Arial" w:cs="Arial"/>
                <w:color w:val="1F1A17"/>
                <w:shd w:val="clear" w:color="auto" w:fill="FFFFFF"/>
              </w:rPr>
            </w:pPr>
            <w:r>
              <w:rPr>
                <w:rFonts w:ascii="Arial" w:hAnsi="Arial" w:cs="Arial"/>
                <w:b/>
                <w:bCs/>
                <w:color w:val="0A408A"/>
                <w:shd w:val="clear" w:color="auto" w:fill="FFFFFF"/>
              </w:rPr>
              <w:t xml:space="preserve">Açıklama        </w:t>
            </w:r>
          </w:p>
        </w:tc>
        <w:tc>
          <w:tcPr>
            <w:tcW w:w="7340" w:type="dxa"/>
            <w:vMerge w:val="restart"/>
            <w:shd w:val="clear" w:color="auto" w:fill="auto"/>
            <w:vAlign w:val="bottom"/>
          </w:tcPr>
          <w:p w:rsidR="007A4254" w:rsidP="007A4254">
            <w:pPr>
              <w:widowControl w:val="0"/>
              <w:autoSpaceDE w:val="0"/>
              <w:spacing w:after="0" w:line="240" w:lineRule="auto"/>
              <w:jc w:val="both"/>
              <w:rPr>
                <w:rFonts w:ascii="Arial" w:hAnsi="Arial" w:cs="Arial"/>
                <w:color w:val="1F1A17"/>
                <w:shd w:val="clear" w:color="auto" w:fill="FFFFFF"/>
              </w:rPr>
            </w:pPr>
            <w:r>
              <w:rPr>
                <w:rFonts w:ascii="Arial" w:hAnsi="Arial" w:cs="Arial"/>
                <w:color w:val="1F1A17"/>
                <w:shd w:val="clear" w:color="auto" w:fill="FFFFFF"/>
              </w:rPr>
              <w:t xml:space="preserve">: Bu belgedeki bilgiler ve görüşler güvenilir olduğu düşünülen kaynaklardan derlenmiş ve alınmıştır, ama doğruluğu, bütünlüğü ve kesinliği noktasında temsiliyet sunabilecek garanti ifade edilemez. </w:t>
            </w:r>
          </w:p>
          <w:p w:rsidR="007A4254" w:rsidP="007A4254">
            <w:pPr>
              <w:widowControl w:val="0"/>
              <w:overflowPunct w:val="0"/>
              <w:autoSpaceDE w:val="0"/>
              <w:spacing w:after="0" w:line="283" w:lineRule="auto"/>
              <w:jc w:val="both"/>
              <w:rPr>
                <w:rFonts w:ascii="Times New Roman" w:hAnsi="Times New Roman"/>
                <w:sz w:val="24"/>
                <w:szCs w:val="24"/>
                <w:shd w:val="clear" w:color="auto" w:fill="FFFFFF"/>
              </w:rPr>
            </w:pPr>
            <w:r>
              <w:rPr>
                <w:rFonts w:ascii="Arial" w:hAnsi="Arial" w:cs="Arial"/>
                <w:color w:val="1F1A17"/>
                <w:shd w:val="clear" w:color="auto" w:fill="FFFFFF"/>
              </w:rPr>
              <w:t>İşbu belge sadece bilgi amaçlıdır. İşbu belgede var olan bigli alıcıya yardım amaçlı olmakla birlikte otorite olarak güvenilmemeli veya alıcılardan herhangi biri tarafından karar aracı olarak kabul edilmemelidir. İşbu belge profesyonel, teknik veya yasal tavsiye yerine geçme amacını taşımamaktadır. İşbu belgede ifade edilmiş fikirler bildiri yapılmadan değiştirilebilir.</w:t>
            </w:r>
          </w:p>
          <w:p w:rsidR="007A4254" w:rsidP="007A4254">
            <w:pPr>
              <w:widowControl w:val="0"/>
              <w:autoSpaceDE w:val="0"/>
              <w:spacing w:after="0" w:line="210" w:lineRule="exact"/>
              <w:rPr>
                <w:rFonts w:ascii="Times New Roman" w:hAnsi="Times New Roman"/>
                <w:sz w:val="24"/>
                <w:szCs w:val="24"/>
                <w:shd w:val="clear" w:color="auto" w:fill="FFFFFF"/>
              </w:rPr>
            </w:pPr>
          </w:p>
          <w:p w:rsidR="007A4254" w:rsidP="007A4254">
            <w:pPr>
              <w:widowControl w:val="0"/>
              <w:overflowPunct w:val="0"/>
              <w:autoSpaceDE w:val="0"/>
              <w:spacing w:after="0" w:line="288" w:lineRule="auto"/>
              <w:jc w:val="both"/>
            </w:pPr>
            <w:r>
              <w:rPr>
                <w:rFonts w:ascii="Arial" w:hAnsi="Arial" w:cs="Arial"/>
                <w:color w:val="1F1A17"/>
                <w:shd w:val="clear" w:color="auto" w:fill="FFFFFF"/>
              </w:rPr>
              <w:t>FICCI, işbu belgenin, içeriğinin veya bağlantılı olduğu içeriğin kullanımından dolayı oluşabilecek kayıplardan dolayı sorumluluk kabul etmez.</w:t>
            </w:r>
          </w:p>
        </w:tc>
      </w:tr>
      <w:tr w:rsidTr="007A4254">
        <w:tblPrEx>
          <w:tblW w:w="0" w:type="auto"/>
          <w:tblLayout w:type="fixed"/>
          <w:tblCellMar>
            <w:left w:w="0" w:type="dxa"/>
            <w:right w:w="0" w:type="dxa"/>
          </w:tblCellMar>
          <w:tblLook w:val="0000"/>
        </w:tblPrEx>
        <w:trPr>
          <w:trHeight w:val="300"/>
        </w:trPr>
        <w:tc>
          <w:tcPr>
            <w:tcW w:w="1418"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00"/>
              </w:rPr>
            </w:pPr>
          </w:p>
        </w:tc>
        <w:tc>
          <w:tcPr>
            <w:tcW w:w="142"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00"/>
              </w:rPr>
            </w:pPr>
          </w:p>
        </w:tc>
        <w:tc>
          <w:tcPr>
            <w:tcW w:w="7340" w:type="dxa"/>
            <w:vMerge/>
            <w:shd w:val="clear" w:color="auto" w:fill="auto"/>
            <w:vAlign w:val="bottom"/>
          </w:tcPr>
          <w:p w:rsidR="007A4254" w:rsidP="007A4254">
            <w:pPr>
              <w:widowControl w:val="0"/>
              <w:autoSpaceDE w:val="0"/>
              <w:snapToGrid w:val="0"/>
              <w:spacing w:after="0" w:line="240" w:lineRule="auto"/>
              <w:rPr>
                <w:rFonts w:ascii="Arial" w:hAnsi="Arial" w:cs="Arial"/>
                <w:color w:val="1F1A17"/>
                <w:shd w:val="clear" w:color="auto" w:fill="FFFF00"/>
              </w:rPr>
            </w:pPr>
          </w:p>
        </w:tc>
      </w:tr>
      <w:tr w:rsidTr="007A4254">
        <w:tblPrEx>
          <w:tblW w:w="0" w:type="auto"/>
          <w:tblLayout w:type="fixed"/>
          <w:tblCellMar>
            <w:left w:w="0" w:type="dxa"/>
            <w:right w:w="0" w:type="dxa"/>
          </w:tblCellMar>
          <w:tblLook w:val="0000"/>
        </w:tblPrEx>
        <w:trPr>
          <w:trHeight w:val="3061"/>
        </w:trPr>
        <w:tc>
          <w:tcPr>
            <w:tcW w:w="1418"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00"/>
              </w:rPr>
            </w:pPr>
          </w:p>
        </w:tc>
        <w:tc>
          <w:tcPr>
            <w:tcW w:w="142" w:type="dxa"/>
            <w:shd w:val="clear" w:color="auto" w:fill="auto"/>
            <w:vAlign w:val="bottom"/>
          </w:tcPr>
          <w:p w:rsidR="007A4254" w:rsidP="007A4254">
            <w:pPr>
              <w:widowControl w:val="0"/>
              <w:autoSpaceDE w:val="0"/>
              <w:snapToGrid w:val="0"/>
              <w:spacing w:after="0" w:line="240" w:lineRule="auto"/>
              <w:rPr>
                <w:rFonts w:ascii="Times New Roman" w:hAnsi="Times New Roman"/>
                <w:sz w:val="24"/>
                <w:szCs w:val="24"/>
                <w:shd w:val="clear" w:color="auto" w:fill="FFFF00"/>
              </w:rPr>
            </w:pPr>
          </w:p>
        </w:tc>
        <w:tc>
          <w:tcPr>
            <w:tcW w:w="7340" w:type="dxa"/>
            <w:vMerge/>
            <w:shd w:val="clear" w:color="auto" w:fill="auto"/>
            <w:vAlign w:val="bottom"/>
          </w:tcPr>
          <w:p w:rsidR="007A4254" w:rsidP="007A4254">
            <w:pPr>
              <w:widowControl w:val="0"/>
              <w:autoSpaceDE w:val="0"/>
              <w:snapToGrid w:val="0"/>
              <w:spacing w:after="0" w:line="240" w:lineRule="auto"/>
              <w:ind w:left="180"/>
              <w:rPr>
                <w:rFonts w:ascii="Arial" w:hAnsi="Arial" w:cs="Arial"/>
                <w:color w:val="1F1A17"/>
                <w:shd w:val="clear" w:color="auto" w:fill="FFFF00"/>
              </w:rPr>
            </w:pPr>
          </w:p>
        </w:tc>
      </w:tr>
    </w:tbl>
    <w:p w:rsidR="007A4254" w:rsidP="007A4254">
      <w:pPr>
        <w:widowControl w:val="0"/>
        <w:autoSpaceDE w:val="0"/>
        <w:spacing w:after="0" w:line="37" w:lineRule="exact"/>
      </w:pPr>
    </w:p>
    <w:p w:rsidR="007A4254" w:rsidP="007A4254">
      <w:pPr>
        <w:widowControl w:val="0"/>
        <w:overflowPunct w:val="0"/>
        <w:autoSpaceDE w:val="0"/>
        <w:spacing w:after="0" w:line="283" w:lineRule="auto"/>
        <w:ind w:left="1840"/>
        <w:jc w:val="both"/>
        <w:rPr>
          <w:rFonts w:ascii="Arial" w:hAnsi="Arial" w:cs="Arial"/>
          <w:color w:val="1F1A17"/>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312" w:lineRule="exact"/>
        <w:rPr>
          <w:rFonts w:ascii="Times New Roman" w:hAnsi="Times New Roman"/>
          <w:sz w:val="24"/>
          <w:szCs w:val="24"/>
          <w:shd w:val="clear" w:color="auto" w:fill="FFFF00"/>
        </w:rPr>
      </w:pPr>
    </w:p>
    <w:p w:rsidR="007A4254" w:rsidP="007A4254">
      <w:pPr>
        <w:widowControl w:val="0"/>
        <w:autoSpaceDE w:val="0"/>
        <w:spacing w:after="0" w:line="240" w:lineRule="auto"/>
        <w:rPr>
          <w:rFonts w:ascii="Times New Roman" w:hAnsi="Times New Roman"/>
          <w:sz w:val="24"/>
          <w:szCs w:val="24"/>
          <w:shd w:val="clear" w:color="auto" w:fill="FFFFFF"/>
        </w:rPr>
        <w:sectPr>
          <w:pgSz w:w="12420" w:h="16180"/>
          <w:pgMar w:top="1440" w:right="1660" w:bottom="1045" w:left="1860" w:header="708" w:footer="708" w:gutter="0"/>
          <w:cols w:space="708"/>
          <w:docGrid w:linePitch="600" w:charSpace="36864"/>
        </w:sectPr>
      </w:pPr>
      <w:r>
        <w:rPr>
          <w:rFonts w:ascii="Arial" w:hAnsi="Arial" w:cs="Arial"/>
          <w:b/>
          <w:bCs/>
          <w:color w:val="0A408A"/>
          <w:sz w:val="26"/>
          <w:szCs w:val="26"/>
          <w:shd w:val="clear" w:color="auto" w:fill="FFFFFF"/>
        </w:rPr>
        <w:t>İletişim Adresi:</w:t>
      </w:r>
    </w:p>
    <w:p w:rsidR="007A4254" w:rsidP="007A4254">
      <w:pPr>
        <w:widowControl w:val="0"/>
        <w:autoSpaceDE w:val="0"/>
        <w:spacing w:after="0" w:line="255" w:lineRule="exact"/>
        <w:rPr>
          <w:rFonts w:ascii="Times New Roman" w:hAnsi="Times New Roman"/>
          <w:sz w:val="24"/>
          <w:szCs w:val="24"/>
          <w:shd w:val="clear" w:color="auto" w:fill="FFFFFF"/>
        </w:rPr>
      </w:pPr>
    </w:p>
    <w:p w:rsidR="007A4254" w:rsidP="007A4254">
      <w:pPr>
        <w:widowControl w:val="0"/>
        <w:autoSpaceDE w:val="0"/>
        <w:spacing w:after="0" w:line="240" w:lineRule="auto"/>
        <w:sectPr>
          <w:type w:val="continuous"/>
          <w:pgSz w:w="12420" w:h="16180"/>
          <w:pgMar w:top="1440" w:right="1660" w:bottom="1045" w:left="1860" w:header="708" w:footer="708" w:gutter="0"/>
          <w:cols w:space="708"/>
          <w:docGrid w:linePitch="600" w:charSpace="36864"/>
        </w:sectPr>
      </w:pPr>
      <w:r>
        <w:rPr>
          <w:rFonts w:ascii="Arial" w:hAnsi="Arial" w:cs="Arial"/>
          <w:color w:val="1F1A17"/>
          <w:shd w:val="clear" w:color="auto" w:fill="FFFFFF"/>
        </w:rPr>
        <w:t>Federation of IndianChambers of Commerce andIndustry (FICCI) Federation House, 1 TansenMarg, New Delhi-11000</w:t>
      </w:r>
    </w:p>
    <w:p w:rsidR="007A4254" w:rsidP="007A4254">
      <w:pPr>
        <w:widowControl w:val="0"/>
        <w:autoSpaceDE w:val="0"/>
        <w:spacing w:after="0" w:line="200" w:lineRule="exact"/>
        <w:rPr>
          <w:rFonts w:ascii="Times New Roman" w:hAnsi="Times New Roman"/>
          <w:sz w:val="24"/>
          <w:szCs w:val="24"/>
          <w:shd w:val="clear" w:color="auto" w:fill="FFFF00"/>
        </w:rPr>
      </w:pPr>
      <w:r>
        <w:rPr>
          <w:noProof/>
        </w:rPr>
        <w:drawing>
          <wp:anchor distT="0" distB="0" distL="114935" distR="114935" simplePos="0" relativeHeight="251673600" behindDoc="1" locked="0" layoutInCell="1" allowOverlap="1">
            <wp:simplePos x="0" y="0"/>
            <wp:positionH relativeFrom="page">
              <wp:posOffset>0</wp:posOffset>
            </wp:positionH>
            <wp:positionV relativeFrom="page">
              <wp:posOffset>0</wp:posOffset>
            </wp:positionV>
            <wp:extent cx="7879715" cy="2697480"/>
            <wp:effectExtent l="0" t="0" r="0" b="0"/>
            <wp:wrapNone/>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96453" name="Picture 14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9715" cy="26974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4" w:name="page3"/>
      <w:bookmarkEnd w:id="4"/>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40" w:lineRule="auto"/>
        <w:rPr>
          <w:rFonts w:ascii="Times New Roman" w:hAnsi="Times New Roman"/>
          <w:sz w:val="24"/>
          <w:szCs w:val="24"/>
          <w:shd w:val="clear" w:color="auto" w:fill="FFFF00"/>
        </w:rPr>
        <w:sectPr>
          <w:pgSz w:w="12420" w:h="16180"/>
          <w:pgMar w:top="1440" w:right="9040" w:bottom="987" w:left="1100" w:header="708" w:footer="708" w:gutter="0"/>
          <w:cols w:space="708"/>
          <w:docGrid w:linePitch="600" w:charSpace="36864"/>
        </w:sectPr>
      </w:pPr>
      <w:r>
        <w:rPr>
          <w:rFonts w:ascii="Arial" w:hAnsi="Arial" w:cs="Arial"/>
          <w:b/>
          <w:bCs/>
          <w:color w:val="000000"/>
          <w:sz w:val="50"/>
          <w:szCs w:val="50"/>
          <w:shd w:val="clear" w:color="auto" w:fill="FFFFFF"/>
        </w:rPr>
        <w:t>Önsöz</w:t>
      </w: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00" w:lineRule="exact"/>
        <w:rPr>
          <w:rFonts w:ascii="Times New Roman" w:hAnsi="Times New Roman"/>
          <w:sz w:val="24"/>
          <w:szCs w:val="24"/>
          <w:shd w:val="clear" w:color="auto" w:fill="FFFF00"/>
        </w:rPr>
      </w:pPr>
    </w:p>
    <w:p w:rsidR="007A4254" w:rsidP="007A4254">
      <w:pPr>
        <w:widowControl w:val="0"/>
        <w:autoSpaceDE w:val="0"/>
        <w:spacing w:after="0" w:line="262" w:lineRule="exact"/>
        <w:rPr>
          <w:rFonts w:ascii="Times New Roman" w:hAnsi="Times New Roman"/>
          <w:sz w:val="24"/>
          <w:szCs w:val="24"/>
          <w:shd w:val="clear" w:color="auto" w:fill="FFFF00"/>
        </w:rPr>
      </w:pPr>
    </w:p>
    <w:p w:rsidR="007A4254" w:rsidP="007A4254">
      <w:pPr>
        <w:widowControl w:val="0"/>
        <w:overflowPunct w:val="0"/>
        <w:autoSpaceDE w:val="0"/>
        <w:spacing w:after="0" w:line="266" w:lineRule="auto"/>
        <w:ind w:right="2400"/>
        <w:jc w:val="both"/>
        <w:rPr>
          <w:rFonts w:ascii="Times New Roman" w:hAnsi="Times New Roman"/>
          <w:sz w:val="24"/>
          <w:szCs w:val="24"/>
          <w:shd w:val="clear" w:color="auto" w:fill="FFFFFF"/>
        </w:rPr>
      </w:pPr>
      <w:r>
        <w:rPr>
          <w:rFonts w:ascii="Arial" w:hAnsi="Arial" w:cs="Arial"/>
          <w:color w:val="1F1A17"/>
          <w:shd w:val="clear" w:color="auto" w:fill="FFFFFF"/>
        </w:rPr>
        <w:t xml:space="preserve">Gelişen küresel zorunluluklar Hindistan ve Türkiye'nin geçmişte var olan karşılıklı ilişkilerini doğrudan etkilemiştir. Geçen birkaç yıl, ekonomik ilişkilerimizde genişleme ve derinleşme açısından nitel bir değişimi de beraberinde getirmiştir. </w:t>
      </w:r>
    </w:p>
    <w:p w:rsidR="007A4254" w:rsidP="007A4254">
      <w:pPr>
        <w:widowControl w:val="0"/>
        <w:autoSpaceDE w:val="0"/>
        <w:spacing w:after="0" w:line="190" w:lineRule="exact"/>
        <w:rPr>
          <w:rFonts w:ascii="Times New Roman" w:hAnsi="Times New Roman"/>
          <w:sz w:val="24"/>
          <w:szCs w:val="24"/>
          <w:shd w:val="clear" w:color="auto" w:fill="FFFFFF"/>
        </w:rPr>
      </w:pPr>
    </w:p>
    <w:p w:rsidR="007A4254" w:rsidP="007A4254">
      <w:pPr>
        <w:widowControl w:val="0"/>
        <w:overflowPunct w:val="0"/>
        <w:autoSpaceDE w:val="0"/>
        <w:spacing w:after="0" w:line="268" w:lineRule="auto"/>
        <w:jc w:val="both"/>
        <w:rPr>
          <w:rFonts w:ascii="Times New Roman" w:hAnsi="Times New Roman"/>
          <w:sz w:val="24"/>
          <w:szCs w:val="24"/>
          <w:shd w:val="clear" w:color="auto" w:fill="FFFFFF"/>
        </w:rPr>
      </w:pPr>
      <w:r>
        <w:rPr>
          <w:rFonts w:ascii="Arial" w:hAnsi="Arial" w:cs="Arial"/>
          <w:color w:val="1F1A17"/>
          <w:shd w:val="clear" w:color="auto" w:fill="FFFFFF"/>
        </w:rPr>
        <w:t>İki ülkeden de başkanlık ve bakanlık seviyesindeki ziyaretler, sekizden fazla FICCI faaliyet delegasyonlarının son iki yılda Türkiye’deki iş merkezlerini ziyaretleri ve nihai Türk sektörel delegasyonların Hindistan’a yaptıkları ziyaretler ikili görüşmelerimizin iyiye gittiğini gösteren pozitif işaretlerden bazılarıdır</w:t>
      </w:r>
    </w:p>
    <w:p w:rsidR="007A4254" w:rsidP="007A4254">
      <w:pPr>
        <w:widowControl w:val="0"/>
        <w:autoSpaceDE w:val="0"/>
        <w:spacing w:after="0" w:line="186" w:lineRule="exact"/>
        <w:rPr>
          <w:rFonts w:ascii="Times New Roman" w:hAnsi="Times New Roman"/>
          <w:sz w:val="24"/>
          <w:szCs w:val="24"/>
          <w:shd w:val="clear" w:color="auto" w:fill="FFFFFF"/>
        </w:rPr>
      </w:pPr>
    </w:p>
    <w:p w:rsidR="007A4254" w:rsidP="007A4254">
      <w:pPr>
        <w:widowControl w:val="0"/>
        <w:overflowPunct w:val="0"/>
        <w:autoSpaceDE w:val="0"/>
        <w:spacing w:after="0" w:line="266" w:lineRule="auto"/>
        <w:jc w:val="both"/>
        <w:rPr>
          <w:rFonts w:ascii="Times New Roman" w:hAnsi="Times New Roman"/>
          <w:sz w:val="24"/>
          <w:szCs w:val="24"/>
          <w:shd w:val="clear" w:color="auto" w:fill="FFFFFF"/>
        </w:rPr>
      </w:pPr>
      <w:r>
        <w:rPr>
          <w:rFonts w:ascii="Arial" w:hAnsi="Arial" w:cs="Arial"/>
          <w:color w:val="1F1A17"/>
          <w:shd w:val="clear" w:color="auto" w:fill="FFFFFF"/>
        </w:rPr>
        <w:t>Türkiye’nin küresel en büyük 17nci ekonomi, AB ülkeleriyle karşılaştırıldığında 6ncı ve Hindistanın da 2 trilyon dolarlık bir ekonomi olma yolunda ilerlemesine rağmen 2013-14 döneminde ticari hacmimiz 6 milyar doların üzerindedir ve gerçek potansiyelin altındadır. Derinleştirilmiş yüz-yüze ve şirket-şirkete görüşmeler ticaretimizin ve yatırım ilişkilerimizin canlanması için gereklidir. Bu canlılık ekonomik senaryoların beklendiği noktada Türk şirketlerinin aktif olarak Hindistan pazarını ve Hindistan şirketlerinin de Türkiye pazarını ustaca değerlendirmelerini sağlayacaktır. Hindistan ekonomisinin istikrar kazanacağı ve batılı ekonomilerin ulaşamayacağı ölçüde, yüzde 6’dan fazla büyüyeceği öngörüsü, sarf edilen çabayı yerinde ve münasip kılmaktadır.</w:t>
      </w:r>
    </w:p>
    <w:p w:rsidR="007A4254" w:rsidP="007A4254">
      <w:pPr>
        <w:widowControl w:val="0"/>
        <w:autoSpaceDE w:val="0"/>
        <w:spacing w:after="0" w:line="189" w:lineRule="exact"/>
        <w:rPr>
          <w:rFonts w:ascii="Times New Roman" w:hAnsi="Times New Roman"/>
          <w:sz w:val="24"/>
          <w:szCs w:val="24"/>
          <w:shd w:val="clear" w:color="auto" w:fill="FFFFFF"/>
        </w:rPr>
      </w:pPr>
    </w:p>
    <w:p w:rsidR="007A4254" w:rsidP="007A4254">
      <w:pPr>
        <w:widowControl w:val="0"/>
        <w:overflowPunct w:val="0"/>
        <w:autoSpaceDE w:val="0"/>
        <w:spacing w:after="0" w:line="266" w:lineRule="auto"/>
        <w:jc w:val="both"/>
        <w:rPr>
          <w:rFonts w:ascii="Times New Roman" w:hAnsi="Times New Roman"/>
          <w:sz w:val="24"/>
          <w:szCs w:val="24"/>
          <w:shd w:val="clear" w:color="auto" w:fill="FFFFFF"/>
        </w:rPr>
      </w:pPr>
      <w:r>
        <w:rPr>
          <w:rFonts w:ascii="Arial" w:hAnsi="Arial" w:cs="Arial"/>
          <w:color w:val="1F1A17"/>
          <w:shd w:val="clear" w:color="auto" w:fill="FFFFFF"/>
        </w:rPr>
        <w:t>Küçük ve orta boylu işletmelerin anahtar rol oynadığı Hindistan’ın imalat sektörü, hizmet sektörünün liderlik ettiği algısının ötesine geçerek, birçok noktada yüksek kalite standartlarını aşmaktadır. Bütün büyük sektörler, otomobil, gıda işleme, tekstil, ilaç, altyapı, yenilenebilir enerji aralarından öne çıkanlarıdır, Hint ve Türk işletmelerin derinlemesine işbirliğine açıktır.</w:t>
      </w:r>
    </w:p>
    <w:p w:rsidR="007A4254" w:rsidP="007A4254">
      <w:pPr>
        <w:widowControl w:val="0"/>
        <w:autoSpaceDE w:val="0"/>
        <w:spacing w:after="0" w:line="190" w:lineRule="exact"/>
        <w:rPr>
          <w:rFonts w:ascii="Times New Roman" w:hAnsi="Times New Roman"/>
          <w:sz w:val="24"/>
          <w:szCs w:val="24"/>
          <w:shd w:val="clear" w:color="auto" w:fill="FFFFFF"/>
        </w:rPr>
      </w:pPr>
    </w:p>
    <w:p w:rsidR="007A4254" w:rsidP="007A4254">
      <w:pPr>
        <w:widowControl w:val="0"/>
        <w:overflowPunct w:val="0"/>
        <w:autoSpaceDE w:val="0"/>
        <w:spacing w:after="0" w:line="268" w:lineRule="auto"/>
        <w:jc w:val="both"/>
        <w:rPr>
          <w:rFonts w:ascii="Times New Roman" w:hAnsi="Times New Roman"/>
          <w:sz w:val="24"/>
          <w:szCs w:val="24"/>
          <w:shd w:val="clear" w:color="auto" w:fill="FFFFFF"/>
        </w:rPr>
      </w:pPr>
      <w:r>
        <w:rPr>
          <w:rFonts w:ascii="Arial" w:hAnsi="Arial" w:cs="Arial"/>
          <w:color w:val="1F1A17"/>
          <w:shd w:val="clear" w:color="auto" w:fill="FFFFFF"/>
        </w:rPr>
        <w:t>Türkiye’deki India Show’un, FICCI’ın Ticaret ve Sanayi Bakanlığı ortaklığı, Gol, ile organize edilmesi Hindistan-Türkiye arasındaki ekonomik ilişkilerin sonraki boyuta taşınması için en büyük ve iyi planlanmış çabalardan birini oluşturmaktadır.</w:t>
      </w:r>
    </w:p>
    <w:p w:rsidR="007A4254" w:rsidP="007A4254">
      <w:pPr>
        <w:widowControl w:val="0"/>
        <w:autoSpaceDE w:val="0"/>
        <w:spacing w:after="0" w:line="186" w:lineRule="exact"/>
        <w:rPr>
          <w:rFonts w:ascii="Times New Roman" w:hAnsi="Times New Roman"/>
          <w:sz w:val="24"/>
          <w:szCs w:val="24"/>
          <w:shd w:val="clear" w:color="auto" w:fill="FFFFFF"/>
        </w:rPr>
      </w:pPr>
    </w:p>
    <w:p w:rsidR="007A4254" w:rsidP="007A4254">
      <w:pPr>
        <w:widowControl w:val="0"/>
        <w:overflowPunct w:val="0"/>
        <w:autoSpaceDE w:val="0"/>
        <w:spacing w:after="0" w:line="266" w:lineRule="auto"/>
        <w:jc w:val="both"/>
        <w:rPr>
          <w:rFonts w:ascii="Times New Roman" w:hAnsi="Times New Roman"/>
          <w:sz w:val="24"/>
          <w:szCs w:val="24"/>
          <w:shd w:val="clear" w:color="auto" w:fill="FFFFFF"/>
        </w:rPr>
      </w:pPr>
      <w:r>
        <w:rPr>
          <w:rFonts w:ascii="Arial" w:hAnsi="Arial" w:cs="Arial"/>
          <w:color w:val="1F1A17"/>
          <w:shd w:val="clear" w:color="auto" w:fill="FFFFFF"/>
        </w:rPr>
        <w:t>İlişkilerimizi derinleştirebilmek ve insiyatiften doğan momentumdan tam anlamıyla faydalanabilmek için iki tarafın da vizyona, yeni fikirlere, yaratıcılığa ve aktif diyaloğa ihtiyacı vardır. İşbu doküman, Hindistan ve Türkiye arasında ortaklıklarla sonuçlanabilecek birlikteliklere zemin yaratılması amacıyla hazırlanmıştır.</w:t>
      </w:r>
    </w:p>
    <w:p w:rsidR="007A4254" w:rsidP="007A4254">
      <w:pPr>
        <w:widowControl w:val="0"/>
        <w:autoSpaceDE w:val="0"/>
        <w:spacing w:after="0" w:line="190" w:lineRule="exact"/>
        <w:rPr>
          <w:rFonts w:ascii="Times New Roman" w:hAnsi="Times New Roman"/>
          <w:sz w:val="24"/>
          <w:szCs w:val="24"/>
          <w:shd w:val="clear" w:color="auto" w:fill="FFFFFF"/>
        </w:rPr>
      </w:pPr>
    </w:p>
    <w:p w:rsidR="007A4254" w:rsidP="007A4254">
      <w:pPr>
        <w:widowControl w:val="0"/>
        <w:overflowPunct w:val="0"/>
        <w:autoSpaceDE w:val="0"/>
        <w:spacing w:after="0" w:line="266" w:lineRule="auto"/>
        <w:jc w:val="both"/>
      </w:pPr>
      <w:r>
        <w:rPr>
          <w:rFonts w:ascii="Arial" w:hAnsi="Arial" w:cs="Arial"/>
          <w:color w:val="1F1A17"/>
          <w:shd w:val="clear" w:color="auto" w:fill="FFFFFF"/>
        </w:rPr>
        <w:t>İşbu dokümanın, doğacak yeni Hint-Türk ortaklıklarına sebebiyet verebilecek, her iki tarafta da bulunan ilgililerde yeni fikirlerin ve görüşlerin ortaya çıkmasına yardımcı olacağına inanıyoruz. FICCI bütün ilgililere, stratejik, ekonomik ve bilgi ortaklıkları oluşturma noktasına destek olmayı taahhüt ederek hükumetin, özel sektörün ve vatandaşların bu rapordan büyük ölçüde yarar sağlayacağına inanmaktadır.</w:t>
      </w:r>
    </w:p>
    <w:p w:rsidR="007A4254" w:rsidP="007A4254">
      <w:pPr>
        <w:widowControl w:val="0"/>
        <w:autoSpaceDE w:val="0"/>
        <w:spacing w:after="0" w:line="200" w:lineRule="exact"/>
        <w:rPr>
          <w:rFonts w:ascii="Times New Roman" w:hAnsi="Times New Roman"/>
          <w:sz w:val="24"/>
          <w:szCs w:val="24"/>
          <w:shd w:val="clear" w:color="auto" w:fill="FFFFFF"/>
        </w:rPr>
      </w:pPr>
      <w:r>
        <w:rPr>
          <w:noProof/>
        </w:rPr>
        <w:drawing>
          <wp:anchor distT="0" distB="0" distL="114935" distR="114935" simplePos="0" relativeHeight="251674624" behindDoc="1" locked="0" layoutInCell="1" allowOverlap="1">
            <wp:simplePos x="0" y="0"/>
            <wp:positionH relativeFrom="column">
              <wp:posOffset>5132070</wp:posOffset>
            </wp:positionH>
            <wp:positionV relativeFrom="paragraph">
              <wp:posOffset>111125</wp:posOffset>
            </wp:positionV>
            <wp:extent cx="1311910" cy="452755"/>
            <wp:effectExtent l="0" t="0" r="0" b="0"/>
            <wp:wrapNone/>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80220" name="Picture 14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1910" cy="4527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A4254" w:rsidP="007A4254">
      <w:pPr>
        <w:widowControl w:val="0"/>
        <w:autoSpaceDE w:val="0"/>
        <w:spacing w:after="0" w:line="200" w:lineRule="exact"/>
        <w:rPr>
          <w:rFonts w:ascii="Times New Roman" w:hAnsi="Times New Roman"/>
          <w:sz w:val="24"/>
          <w:szCs w:val="24"/>
          <w:shd w:val="clear" w:color="auto" w:fill="FFFFFF"/>
        </w:rPr>
      </w:pPr>
    </w:p>
    <w:p w:rsidR="007A4254" w:rsidP="007A4254">
      <w:pPr>
        <w:widowControl w:val="0"/>
        <w:autoSpaceDE w:val="0"/>
        <w:spacing w:after="0" w:line="389" w:lineRule="exact"/>
        <w:rPr>
          <w:rFonts w:ascii="Times New Roman" w:hAnsi="Times New Roman"/>
          <w:sz w:val="24"/>
          <w:szCs w:val="24"/>
          <w:shd w:val="clear" w:color="auto" w:fill="FFFFFF"/>
        </w:rPr>
      </w:pPr>
    </w:p>
    <w:p w:rsidR="00AC32CB" w:rsidP="007A4254">
      <w:pPr>
        <w:widowControl w:val="0"/>
        <w:overflowPunct w:val="0"/>
        <w:autoSpaceDE w:val="0"/>
        <w:spacing w:after="0" w:line="240" w:lineRule="auto"/>
        <w:jc w:val="right"/>
        <w:rPr>
          <w:rFonts w:ascii="Arial" w:hAnsi="Arial" w:cs="Arial"/>
          <w:i/>
          <w:iCs/>
          <w:color w:val="1F1A17"/>
          <w:shd w:val="clear" w:color="auto" w:fill="FFFFFF"/>
        </w:rPr>
      </w:pPr>
    </w:p>
    <w:p w:rsidR="007A4254" w:rsidP="007A4254">
      <w:pPr>
        <w:widowControl w:val="0"/>
        <w:overflowPunct w:val="0"/>
        <w:autoSpaceDE w:val="0"/>
        <w:spacing w:after="0" w:line="240" w:lineRule="auto"/>
        <w:jc w:val="right"/>
        <w:rPr>
          <w:rFonts w:ascii="Times New Roman" w:hAnsi="Times New Roman"/>
          <w:sz w:val="24"/>
          <w:szCs w:val="24"/>
          <w:shd w:val="clear" w:color="auto" w:fill="FFFFFF"/>
        </w:rPr>
      </w:pPr>
      <w:r>
        <w:rPr>
          <w:rFonts w:ascii="Arial" w:hAnsi="Arial" w:cs="Arial"/>
          <w:i/>
          <w:iCs/>
          <w:color w:val="1F1A17"/>
          <w:shd w:val="clear" w:color="auto" w:fill="FFFFFF"/>
        </w:rPr>
        <w:t>İçtenlikle,</w:t>
      </w:r>
    </w:p>
    <w:p w:rsidR="007A4254" w:rsidP="007A4254">
      <w:pPr>
        <w:widowControl w:val="0"/>
        <w:autoSpaceDE w:val="0"/>
        <w:spacing w:after="0" w:line="38" w:lineRule="exact"/>
        <w:rPr>
          <w:rFonts w:ascii="Times New Roman" w:hAnsi="Times New Roman"/>
          <w:sz w:val="24"/>
          <w:szCs w:val="24"/>
          <w:shd w:val="clear" w:color="auto" w:fill="FFFFFF"/>
        </w:rPr>
      </w:pPr>
    </w:p>
    <w:p w:rsidR="007A4254" w:rsidP="007A4254">
      <w:pPr>
        <w:widowControl w:val="0"/>
        <w:overflowPunct w:val="0"/>
        <w:autoSpaceDE w:val="0"/>
        <w:spacing w:after="0" w:line="240" w:lineRule="auto"/>
        <w:jc w:val="right"/>
        <w:rPr>
          <w:rFonts w:ascii="Times New Roman" w:hAnsi="Times New Roman"/>
          <w:sz w:val="24"/>
          <w:szCs w:val="24"/>
          <w:shd w:val="clear" w:color="auto" w:fill="FFFFFF"/>
        </w:rPr>
      </w:pPr>
      <w:r>
        <w:rPr>
          <w:rFonts w:ascii="Arial" w:hAnsi="Arial" w:cs="Arial"/>
          <w:b/>
          <w:bCs/>
          <w:color w:val="1F1A17"/>
          <w:shd w:val="clear" w:color="auto" w:fill="FFFFFF"/>
        </w:rPr>
        <w:t>(Dr. A Didar Singh)</w:t>
      </w:r>
    </w:p>
    <w:p w:rsidR="007A4254" w:rsidP="007A4254">
      <w:pPr>
        <w:widowControl w:val="0"/>
        <w:autoSpaceDE w:val="0"/>
        <w:spacing w:after="0" w:line="30" w:lineRule="exact"/>
        <w:rPr>
          <w:rFonts w:ascii="Times New Roman" w:hAnsi="Times New Roman"/>
          <w:sz w:val="24"/>
          <w:szCs w:val="24"/>
          <w:shd w:val="clear" w:color="auto" w:fill="FFFFFF"/>
        </w:rPr>
      </w:pPr>
    </w:p>
    <w:p w:rsidR="007A4254" w:rsidP="007A4254">
      <w:pPr>
        <w:widowControl w:val="0"/>
        <w:overflowPunct w:val="0"/>
        <w:autoSpaceDE w:val="0"/>
        <w:spacing w:after="0" w:line="240" w:lineRule="auto"/>
        <w:jc w:val="right"/>
        <w:rPr>
          <w:rFonts w:ascii="Times New Roman" w:hAnsi="Times New Roman"/>
          <w:sz w:val="24"/>
          <w:szCs w:val="24"/>
          <w:shd w:val="clear" w:color="auto" w:fill="FFFFFF"/>
        </w:rPr>
      </w:pPr>
      <w:r>
        <w:rPr>
          <w:rFonts w:ascii="Arial" w:hAnsi="Arial" w:cs="Arial"/>
          <w:color w:val="1F1A17"/>
          <w:shd w:val="clear" w:color="auto" w:fill="FFFFFF"/>
        </w:rPr>
        <w:t>Genel Sekreter</w:t>
      </w:r>
    </w:p>
    <w:p w:rsidR="007A4254" w:rsidP="007A4254">
      <w:pPr>
        <w:widowControl w:val="0"/>
        <w:autoSpaceDE w:val="0"/>
        <w:spacing w:after="0" w:line="34" w:lineRule="exact"/>
        <w:rPr>
          <w:rFonts w:ascii="Times New Roman" w:hAnsi="Times New Roman"/>
          <w:sz w:val="24"/>
          <w:szCs w:val="24"/>
          <w:shd w:val="clear" w:color="auto" w:fill="FFFFFF"/>
        </w:rPr>
      </w:pPr>
    </w:p>
    <w:p w:rsidR="007A4254" w:rsidP="007A4254">
      <w:pPr>
        <w:widowControl w:val="0"/>
        <w:overflowPunct w:val="0"/>
        <w:autoSpaceDE w:val="0"/>
        <w:spacing w:after="0" w:line="240" w:lineRule="auto"/>
        <w:jc w:val="right"/>
        <w:rPr>
          <w:rFonts w:ascii="Arial" w:hAnsi="Arial" w:cs="Arial"/>
          <w:color w:val="1F1A17"/>
          <w:shd w:val="clear" w:color="auto" w:fill="FFFFFF"/>
        </w:rPr>
      </w:pPr>
      <w:r>
        <w:rPr>
          <w:rFonts w:ascii="Arial" w:hAnsi="Arial" w:cs="Arial"/>
          <w:color w:val="1F1A17"/>
          <w:shd w:val="clear" w:color="auto" w:fill="FFFFFF"/>
        </w:rPr>
        <w:t>FICCI</w:t>
      </w:r>
    </w:p>
    <w:p w:rsidR="007A4254" w:rsidP="007A4254">
      <w:pPr>
        <w:widowControl w:val="0"/>
        <w:overflowPunct w:val="0"/>
        <w:autoSpaceDE w:val="0"/>
        <w:spacing w:after="0" w:line="240" w:lineRule="auto"/>
        <w:jc w:val="right"/>
        <w:sectPr>
          <w:type w:val="continuous"/>
          <w:pgSz w:w="12420" w:h="16180"/>
          <w:pgMar w:top="1440" w:right="1120" w:bottom="987" w:left="1100" w:header="708" w:footer="708" w:gutter="0"/>
          <w:cols w:space="708"/>
          <w:docGrid w:linePitch="600" w:charSpace="36864"/>
        </w:sectPr>
      </w:pPr>
    </w:p>
    <w:p w:rsidR="00CD158B">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2920" w:bottom="1440" w:left="2080" w:header="708" w:footer="708" w:gutter="0"/>
          <w:cols w:space="708" w:equalWidth="0">
            <w:col w:w="7420"/>
          </w:cols>
          <w:noEndnote/>
        </w:sectPr>
      </w:pPr>
      <w:bookmarkStart w:id="5" w:name="page6"/>
      <w:bookmarkStart w:id="6" w:name="page7"/>
      <w:bookmarkEnd w:id="5"/>
      <w:bookmarkEnd w:id="6"/>
    </w:p>
    <w:p w:rsidR="00CD158B">
      <w:pPr>
        <w:widowControl w:val="0"/>
        <w:autoSpaceDE w:val="0"/>
        <w:autoSpaceDN w:val="0"/>
        <w:adjustRightInd w:val="0"/>
        <w:spacing w:after="0" w:line="200" w:lineRule="exact"/>
        <w:rPr>
          <w:rFonts w:ascii="Times New Roman" w:hAnsi="Times New Roman"/>
          <w:sz w:val="24"/>
          <w:szCs w:val="24"/>
        </w:rPr>
      </w:pPr>
      <w:bookmarkStart w:id="7" w:name="page8"/>
      <w:bookmarkStart w:id="8" w:name="page9"/>
      <w:bookmarkEnd w:id="7"/>
      <w:bookmarkEnd w:id="8"/>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377825</wp:posOffset>
            </wp:positionV>
            <wp:extent cx="7880350" cy="989647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86756" name="Picture 9"/>
                    <pic:cNvPicPr>
                      <a:picLocks noChangeAspect="1" noChangeArrowheads="1"/>
                    </pic:cNvPicPr>
                  </pic:nvPicPr>
                  <pic:blipFill>
                    <a:blip xmlns:r="http://schemas.openxmlformats.org/officeDocument/2006/relationships" r:embed="rId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6475"/>
                    </a:xfrm>
                    <a:prstGeom prst="rect">
                      <a:avLst/>
                    </a:prstGeom>
                    <a:noFill/>
                  </pic:spPr>
                </pic:pic>
              </a:graphicData>
            </a:graphic>
            <wp14:sizeRelH relativeFrom="page">
              <wp14:pctWidth>0</wp14:pctWidth>
            </wp14:sizeRelH>
            <wp14:sizeRelV relativeFrom="page">
              <wp14:pctHeight>0</wp14:pctHeight>
            </wp14:sizeRelV>
          </wp:anchor>
        </w:drawing>
      </w: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70" w:lineRule="exact"/>
        <w:rPr>
          <w:rFonts w:ascii="Times New Roman" w:hAnsi="Times New Roman"/>
          <w:sz w:val="24"/>
          <w:szCs w:val="24"/>
        </w:rPr>
      </w:pPr>
    </w:p>
    <w:p w:rsidR="00CD158B" w:rsidRPr="00C80C0B">
      <w:pPr>
        <w:widowControl w:val="0"/>
        <w:autoSpaceDE w:val="0"/>
        <w:autoSpaceDN w:val="0"/>
        <w:adjustRightInd w:val="0"/>
        <w:spacing w:after="0" w:line="240" w:lineRule="auto"/>
        <w:ind w:left="3"/>
        <w:rPr>
          <w:rFonts w:ascii="Times New Roman" w:hAnsi="Times New Roman"/>
          <w:sz w:val="24"/>
          <w:szCs w:val="24"/>
          <w:highlight w:val="yellow"/>
        </w:rPr>
      </w:pPr>
      <w:r w:rsidRPr="00AC32CB">
        <w:rPr>
          <w:rFonts w:ascii="Arial" w:hAnsi="Arial" w:cs="Arial"/>
          <w:b/>
          <w:bCs/>
          <w:color w:val="0A408A"/>
          <w:sz w:val="48"/>
          <w:szCs w:val="48"/>
        </w:rPr>
        <w:t>İdari Özet</w:t>
      </w: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AC32CB">
      <w:pPr>
        <w:widowControl w:val="0"/>
        <w:autoSpaceDE w:val="0"/>
        <w:autoSpaceDN w:val="0"/>
        <w:adjustRightInd w:val="0"/>
        <w:spacing w:after="0" w:line="206" w:lineRule="exact"/>
        <w:rPr>
          <w:rFonts w:ascii="Times New Roman" w:hAnsi="Times New Roman"/>
          <w:sz w:val="24"/>
          <w:szCs w:val="24"/>
        </w:rPr>
      </w:pPr>
    </w:p>
    <w:p w:rsidR="00CD158B" w:rsidRPr="00AC32CB">
      <w:pPr>
        <w:widowControl w:val="0"/>
        <w:numPr>
          <w:ilvl w:val="0"/>
          <w:numId w:val="1"/>
        </w:numPr>
        <w:tabs>
          <w:tab w:val="num" w:pos="383"/>
          <w:tab w:val="clear" w:pos="720"/>
        </w:tabs>
        <w:overflowPunct w:val="0"/>
        <w:autoSpaceDE w:val="0"/>
        <w:autoSpaceDN w:val="0"/>
        <w:adjustRightInd w:val="0"/>
        <w:spacing w:after="0" w:line="244" w:lineRule="auto"/>
        <w:ind w:left="383" w:hanging="382"/>
        <w:jc w:val="both"/>
        <w:rPr>
          <w:rFonts w:ascii="Arial" w:hAnsi="Arial" w:cs="Arial"/>
          <w:color w:val="1F1A17"/>
          <w:sz w:val="25"/>
          <w:szCs w:val="25"/>
        </w:rPr>
      </w:pPr>
      <w:r>
        <w:rPr>
          <w:rFonts w:ascii="Arial" w:hAnsi="Arial" w:cs="Arial"/>
          <w:color w:val="1F1A17"/>
          <w:sz w:val="25"/>
          <w:szCs w:val="25"/>
        </w:rPr>
        <w:t>Hindistan ve Türkiye arasında geçmişten gelen, iki bin yıldan da uzun bir bağ vardır. Bölgelerinde ve ötesinde kayda değer bir ekonomik güce sahip olduklarında</w:t>
      </w:r>
      <w:r w:rsidR="004D2307">
        <w:rPr>
          <w:rFonts w:ascii="Arial" w:hAnsi="Arial" w:cs="Arial"/>
          <w:color w:val="1F1A17"/>
          <w:sz w:val="25"/>
          <w:szCs w:val="25"/>
        </w:rPr>
        <w:t xml:space="preserve"> Türkiye ve Hindistan’ın ortak çıkarları için girişken bir şekilde birbirlerine doğru ilerlemelidirler.</w:t>
      </w:r>
    </w:p>
    <w:p w:rsidR="00CD158B" w:rsidRPr="00AC32CB">
      <w:pPr>
        <w:widowControl w:val="0"/>
        <w:autoSpaceDE w:val="0"/>
        <w:autoSpaceDN w:val="0"/>
        <w:adjustRightInd w:val="0"/>
        <w:spacing w:after="0" w:line="218" w:lineRule="exact"/>
        <w:rPr>
          <w:rFonts w:ascii="Arial" w:hAnsi="Arial" w:cs="Arial"/>
          <w:color w:val="1F1A17"/>
          <w:sz w:val="25"/>
          <w:szCs w:val="25"/>
        </w:rPr>
      </w:pPr>
    </w:p>
    <w:p w:rsidR="00CD158B" w:rsidRPr="00AC32CB">
      <w:pPr>
        <w:widowControl w:val="0"/>
        <w:numPr>
          <w:ilvl w:val="0"/>
          <w:numId w:val="1"/>
        </w:numPr>
        <w:tabs>
          <w:tab w:val="num" w:pos="383"/>
          <w:tab w:val="clear" w:pos="720"/>
        </w:tabs>
        <w:overflowPunct w:val="0"/>
        <w:autoSpaceDE w:val="0"/>
        <w:autoSpaceDN w:val="0"/>
        <w:adjustRightInd w:val="0"/>
        <w:spacing w:after="0" w:line="244" w:lineRule="auto"/>
        <w:ind w:left="383" w:hanging="382"/>
        <w:jc w:val="both"/>
        <w:rPr>
          <w:rFonts w:ascii="Arial" w:hAnsi="Arial" w:cs="Arial"/>
          <w:color w:val="1F1A17"/>
          <w:sz w:val="25"/>
          <w:szCs w:val="25"/>
        </w:rPr>
      </w:pPr>
      <w:r>
        <w:rPr>
          <w:rFonts w:ascii="Arial" w:hAnsi="Arial" w:cs="Arial"/>
          <w:color w:val="1F1A17"/>
          <w:sz w:val="25"/>
          <w:szCs w:val="25"/>
        </w:rPr>
        <w:t>İşbu raporun ve bugünkü forumun amacı varolan fırsatların altını dol</w:t>
      </w:r>
      <w:r w:rsidR="00C86BAB">
        <w:rPr>
          <w:rFonts w:ascii="Arial" w:hAnsi="Arial" w:cs="Arial"/>
          <w:color w:val="1F1A17"/>
          <w:sz w:val="25"/>
          <w:szCs w:val="25"/>
        </w:rPr>
        <w:t>durup, Hindistan ve Türkiye arasındaki ilişkilere</w:t>
      </w:r>
      <w:r>
        <w:rPr>
          <w:rFonts w:ascii="Arial" w:hAnsi="Arial" w:cs="Arial"/>
          <w:color w:val="1F1A17"/>
          <w:sz w:val="25"/>
          <w:szCs w:val="25"/>
        </w:rPr>
        <w:t>, ticare</w:t>
      </w:r>
      <w:r w:rsidR="00C86BAB">
        <w:rPr>
          <w:rFonts w:ascii="Arial" w:hAnsi="Arial" w:cs="Arial"/>
          <w:color w:val="1F1A17"/>
          <w:sz w:val="25"/>
          <w:szCs w:val="25"/>
        </w:rPr>
        <w:t>te</w:t>
      </w:r>
      <w:r>
        <w:rPr>
          <w:rFonts w:ascii="Arial" w:hAnsi="Arial" w:cs="Arial"/>
          <w:color w:val="1F1A17"/>
          <w:sz w:val="25"/>
          <w:szCs w:val="25"/>
        </w:rPr>
        <w:t xml:space="preserve"> ve yüz yüze </w:t>
      </w:r>
      <w:r w:rsidR="00C86BAB">
        <w:rPr>
          <w:rFonts w:ascii="Arial" w:hAnsi="Arial" w:cs="Arial"/>
          <w:color w:val="1F1A17"/>
          <w:sz w:val="25"/>
          <w:szCs w:val="25"/>
        </w:rPr>
        <w:t>etkileşimlere yeni boyutlar katmaktır. İşbu rapor, Hindistan ve Türkiye’de var olan ticari topluluklar için müsait olan, Hindistan ve Türkiye’deki potansiyel sanayi kolları hakkında kısa bir bilgi verme amacı taşır.</w:t>
      </w:r>
    </w:p>
    <w:p w:rsidR="00CD158B" w:rsidRPr="00AC32CB">
      <w:pPr>
        <w:widowControl w:val="0"/>
        <w:autoSpaceDE w:val="0"/>
        <w:autoSpaceDN w:val="0"/>
        <w:adjustRightInd w:val="0"/>
        <w:spacing w:after="0" w:line="216" w:lineRule="exact"/>
        <w:rPr>
          <w:rFonts w:ascii="Arial" w:hAnsi="Arial" w:cs="Arial"/>
          <w:color w:val="1F1A17"/>
          <w:sz w:val="25"/>
          <w:szCs w:val="25"/>
        </w:rPr>
      </w:pPr>
    </w:p>
    <w:p w:rsidR="00CD158B" w:rsidRPr="00AC32CB">
      <w:pPr>
        <w:widowControl w:val="0"/>
        <w:numPr>
          <w:ilvl w:val="0"/>
          <w:numId w:val="1"/>
        </w:numPr>
        <w:tabs>
          <w:tab w:val="num" w:pos="363"/>
          <w:tab w:val="clear" w:pos="720"/>
        </w:tabs>
        <w:overflowPunct w:val="0"/>
        <w:autoSpaceDE w:val="0"/>
        <w:autoSpaceDN w:val="0"/>
        <w:adjustRightInd w:val="0"/>
        <w:spacing w:after="0" w:line="244" w:lineRule="auto"/>
        <w:ind w:left="363" w:hanging="363"/>
        <w:jc w:val="both"/>
        <w:rPr>
          <w:rFonts w:ascii="Arial" w:hAnsi="Arial" w:cs="Arial"/>
          <w:color w:val="1F1A17"/>
          <w:sz w:val="25"/>
          <w:szCs w:val="25"/>
        </w:rPr>
      </w:pPr>
      <w:r>
        <w:rPr>
          <w:rFonts w:ascii="Arial" w:hAnsi="Arial" w:cs="Arial"/>
          <w:color w:val="1F1A17"/>
          <w:sz w:val="25"/>
          <w:szCs w:val="25"/>
        </w:rPr>
        <w:t>Hindistan, girişimciliğin getirdiği enerji, gençliğin dinamizmi ve yaratıcılık üzerine temellendirilmiş,sürdürülebilir bir kalkınma modeline sahip</w:t>
      </w:r>
      <w:r w:rsidR="0038064A">
        <w:rPr>
          <w:rFonts w:ascii="Arial" w:hAnsi="Arial" w:cs="Arial"/>
          <w:color w:val="1F1A17"/>
          <w:sz w:val="25"/>
          <w:szCs w:val="25"/>
        </w:rPr>
        <w:t xml:space="preserve"> olmakla birlikte, en hızlı büyüyen serbest piyasa ekonomilerinden biridir</w:t>
      </w:r>
      <w:r>
        <w:rPr>
          <w:rFonts w:ascii="Arial" w:hAnsi="Arial" w:cs="Arial"/>
          <w:color w:val="1F1A17"/>
          <w:sz w:val="25"/>
          <w:szCs w:val="25"/>
        </w:rPr>
        <w:t>.</w:t>
      </w:r>
      <w:r w:rsidR="0038064A">
        <w:rPr>
          <w:rFonts w:ascii="Arial" w:hAnsi="Arial" w:cs="Arial"/>
          <w:color w:val="1F1A17"/>
          <w:sz w:val="25"/>
          <w:szCs w:val="25"/>
        </w:rPr>
        <w:t xml:space="preserve"> Hindistan ve Türkiye, birbirlerinin içkin ekonomik güçleri ve arka plandaki güçlü bağlarından yararlanmış olacaklardır.</w:t>
      </w:r>
    </w:p>
    <w:p w:rsidR="00CD158B" w:rsidRPr="00AC32CB">
      <w:pPr>
        <w:widowControl w:val="0"/>
        <w:autoSpaceDE w:val="0"/>
        <w:autoSpaceDN w:val="0"/>
        <w:adjustRightInd w:val="0"/>
        <w:spacing w:after="0" w:line="218" w:lineRule="exact"/>
        <w:rPr>
          <w:rFonts w:ascii="Arial" w:hAnsi="Arial" w:cs="Arial"/>
          <w:color w:val="1F1A17"/>
          <w:sz w:val="25"/>
          <w:szCs w:val="25"/>
        </w:rPr>
      </w:pPr>
    </w:p>
    <w:p w:rsidR="00CD158B" w:rsidRPr="00AC32CB">
      <w:pPr>
        <w:widowControl w:val="0"/>
        <w:numPr>
          <w:ilvl w:val="0"/>
          <w:numId w:val="1"/>
        </w:numPr>
        <w:tabs>
          <w:tab w:val="num" w:pos="364"/>
          <w:tab w:val="clear" w:pos="720"/>
        </w:tabs>
        <w:overflowPunct w:val="0"/>
        <w:autoSpaceDE w:val="0"/>
        <w:autoSpaceDN w:val="0"/>
        <w:adjustRightInd w:val="0"/>
        <w:spacing w:after="0" w:line="243" w:lineRule="auto"/>
        <w:ind w:left="363" w:hanging="363"/>
        <w:jc w:val="both"/>
        <w:rPr>
          <w:rFonts w:ascii="Arial" w:hAnsi="Arial" w:cs="Arial"/>
          <w:color w:val="1F1A17"/>
          <w:sz w:val="25"/>
          <w:szCs w:val="25"/>
        </w:rPr>
      </w:pPr>
      <w:r>
        <w:rPr>
          <w:rFonts w:ascii="Arial" w:hAnsi="Arial" w:cs="Arial"/>
          <w:color w:val="1F1A17"/>
          <w:sz w:val="25"/>
          <w:szCs w:val="25"/>
        </w:rPr>
        <w:t>Hindistan ve Türkiyenin uzun bir ticari geçmişi olmasına rağmen, milli verinin yüzdelik dağılımı açısından iki taraf için de düşüktür ve karşılıklı katılımı yükseltmek için çok büyük bir potansiyel vardır.</w:t>
      </w:r>
      <w:r w:rsidR="00EA6F75">
        <w:rPr>
          <w:rFonts w:ascii="Arial" w:hAnsi="Arial" w:cs="Arial"/>
          <w:color w:val="1F1A17"/>
          <w:sz w:val="25"/>
          <w:szCs w:val="25"/>
        </w:rPr>
        <w:t xml:space="preserve"> Her iki tarafdoğrudan yabancı yatırım girişlerini hareketlendirmek amacıyla sadece büyük şirketler bazında değil aynı zaman küçük ve orta büyüklükteki işletmeler (KOBİ) bazında da işbirliğine gidilebilir. Türkiye’den gelecek yabancı yatırım girişi Hindistan’da daha fazla istihdamı ve vasıf gelişimini de beraberinde getirecektir. Aynı zamanda Türkiye’nin küresel rekabet</w:t>
      </w:r>
      <w:r w:rsidR="00E933D2">
        <w:rPr>
          <w:rFonts w:ascii="Arial" w:hAnsi="Arial" w:cs="Arial"/>
          <w:color w:val="1F1A17"/>
          <w:sz w:val="25"/>
          <w:szCs w:val="25"/>
        </w:rPr>
        <w:t xml:space="preserve"> gücü de artacaktır. Derinleşen ekonomik faaliyetler Türkiye’de de istihdamın artmasını sağlayacaktır.</w:t>
      </w:r>
    </w:p>
    <w:p w:rsidR="00CD158B" w:rsidRPr="00AC32CB">
      <w:pPr>
        <w:widowControl w:val="0"/>
        <w:autoSpaceDE w:val="0"/>
        <w:autoSpaceDN w:val="0"/>
        <w:adjustRightInd w:val="0"/>
        <w:spacing w:after="0" w:line="219" w:lineRule="exact"/>
        <w:rPr>
          <w:rFonts w:ascii="Arial" w:hAnsi="Arial" w:cs="Arial"/>
          <w:color w:val="1F1A17"/>
          <w:sz w:val="25"/>
          <w:szCs w:val="25"/>
        </w:rPr>
      </w:pPr>
    </w:p>
    <w:p w:rsidR="00CD158B" w:rsidRPr="004E4115" w:rsidP="005E52C3">
      <w:pPr>
        <w:widowControl w:val="0"/>
        <w:numPr>
          <w:ilvl w:val="0"/>
          <w:numId w:val="1"/>
        </w:numPr>
        <w:tabs>
          <w:tab w:val="num" w:pos="363"/>
          <w:tab w:val="clear" w:pos="720"/>
        </w:tabs>
        <w:overflowPunct w:val="0"/>
        <w:autoSpaceDE w:val="0"/>
        <w:autoSpaceDN w:val="0"/>
        <w:adjustRightInd w:val="0"/>
        <w:spacing w:after="0" w:line="240" w:lineRule="auto"/>
        <w:ind w:left="363" w:hanging="363"/>
        <w:jc w:val="both"/>
        <w:rPr>
          <w:rFonts w:ascii="Times New Roman" w:hAnsi="Times New Roman"/>
          <w:sz w:val="24"/>
          <w:szCs w:val="24"/>
        </w:rPr>
        <w:sectPr>
          <w:pgSz w:w="12420" w:h="16180"/>
          <w:pgMar w:top="1440" w:right="1120" w:bottom="320" w:left="3377" w:header="708" w:footer="708" w:gutter="0"/>
          <w:cols w:space="708" w:equalWidth="0">
            <w:col w:w="7923"/>
          </w:cols>
          <w:noEndnote/>
        </w:sectPr>
      </w:pPr>
      <w:r w:rsidRPr="004E4115">
        <w:rPr>
          <w:rFonts w:ascii="Arial" w:hAnsi="Arial" w:cs="Arial"/>
          <w:color w:val="1F1A17"/>
          <w:sz w:val="25"/>
          <w:szCs w:val="25"/>
        </w:rPr>
        <w:t>Son yirmi yılda Hindistan ekonomik kalkınma bazında uzun bir yol katetmiştir.</w:t>
      </w:r>
      <w:r w:rsidRPr="004E4115" w:rsidR="00AB4DB1">
        <w:rPr>
          <w:rFonts w:ascii="Arial" w:hAnsi="Arial" w:cs="Arial"/>
          <w:color w:val="1F1A17"/>
          <w:sz w:val="25"/>
          <w:szCs w:val="25"/>
        </w:rPr>
        <w:t xml:space="preserve"> Ayrıca Hindistan</w:t>
      </w:r>
      <w:r w:rsidRPr="004E4115" w:rsidR="004E4115">
        <w:rPr>
          <w:rFonts w:ascii="Arial" w:hAnsi="Arial" w:cs="Arial"/>
          <w:color w:val="1F1A17"/>
          <w:sz w:val="25"/>
          <w:szCs w:val="25"/>
        </w:rPr>
        <w:t xml:space="preserve"> günümüzün</w:t>
      </w:r>
      <w:r w:rsidRPr="004E4115" w:rsidR="00AB4DB1">
        <w:rPr>
          <w:rFonts w:ascii="Arial" w:hAnsi="Arial" w:cs="Arial"/>
          <w:color w:val="1F1A17"/>
          <w:sz w:val="25"/>
          <w:szCs w:val="25"/>
        </w:rPr>
        <w:t xml:space="preserve"> bilgi temelli küresel ekonomi</w:t>
      </w:r>
      <w:r w:rsidRPr="004E4115" w:rsidR="004E4115">
        <w:rPr>
          <w:rFonts w:ascii="Arial" w:hAnsi="Arial" w:cs="Arial"/>
          <w:color w:val="1F1A17"/>
          <w:sz w:val="25"/>
          <w:szCs w:val="25"/>
        </w:rPr>
        <w:t xml:space="preserve"> çerçevesinde, küresel taşeron pazarında yeni bir dalga olan Bilgi Süreçleri Taşeronluğu (BST) piyasasını ele geçirmek için gücünü arttırabilecek bir noktadadır.</w:t>
      </w: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83" w:lineRule="exact"/>
        <w:rPr>
          <w:rFonts w:ascii="Times New Roman" w:hAnsi="Times New Roman"/>
          <w:sz w:val="24"/>
          <w:szCs w:val="24"/>
        </w:rPr>
      </w:pPr>
    </w:p>
    <w:p w:rsidR="00CD158B" w:rsidRPr="00AC32CB" w:rsidP="004E4115">
      <w:pPr>
        <w:widowControl w:val="0"/>
        <w:autoSpaceDE w:val="0"/>
        <w:autoSpaceDN w:val="0"/>
        <w:adjustRightInd w:val="0"/>
        <w:spacing w:after="0" w:line="240" w:lineRule="auto"/>
        <w:ind w:right="-196"/>
        <w:rPr>
          <w:rFonts w:ascii="Times New Roman" w:hAnsi="Times New Roman"/>
          <w:sz w:val="24"/>
          <w:szCs w:val="24"/>
        </w:rPr>
      </w:pPr>
      <w:r>
        <w:rPr>
          <w:rFonts w:ascii="Arial" w:hAnsi="Arial" w:cs="Arial"/>
          <w:color w:val="1F1A17"/>
          <w:sz w:val="17"/>
          <w:szCs w:val="17"/>
        </w:rPr>
        <w:t xml:space="preserve"> </w:t>
      </w:r>
      <w:r w:rsidRPr="00AC32CB">
        <w:rPr>
          <w:rFonts w:ascii="Arial" w:hAnsi="Arial" w:cs="Arial"/>
          <w:color w:val="1F1A17"/>
          <w:sz w:val="17"/>
          <w:szCs w:val="17"/>
        </w:rPr>
        <w:t xml:space="preserve"> </w:t>
      </w:r>
      <w:r w:rsidR="004E4115">
        <w:rPr>
          <w:rFonts w:ascii="Arial" w:hAnsi="Arial" w:cs="Arial"/>
          <w:color w:val="1F1A17"/>
          <w:sz w:val="17"/>
          <w:szCs w:val="17"/>
        </w:rPr>
        <w:t>HİNDİSTAN-TÜRKİYE Ticari ve Ekonomik İlişkiler: Geleceğe dair Beklentiler</w:t>
      </w:r>
    </w:p>
    <w:p w:rsidR="00CD158B" w:rsidRPr="00AC32CB">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5080" w:bottom="320" w:left="1440" w:header="708" w:footer="708" w:gutter="0"/>
          <w:cols w:space="708" w:equalWidth="0">
            <w:col w:w="5900"/>
          </w:cols>
          <w:noEndnote/>
        </w:sectPr>
      </w:pPr>
    </w:p>
    <w:p w:rsidR="00CD158B" w:rsidRPr="00AC32CB">
      <w:pPr>
        <w:widowControl w:val="0"/>
        <w:autoSpaceDE w:val="0"/>
        <w:autoSpaceDN w:val="0"/>
        <w:adjustRightInd w:val="0"/>
        <w:spacing w:after="0" w:line="200" w:lineRule="exact"/>
        <w:rPr>
          <w:rFonts w:ascii="Times New Roman" w:hAnsi="Times New Roman"/>
          <w:sz w:val="24"/>
          <w:szCs w:val="24"/>
        </w:rPr>
      </w:pPr>
      <w:bookmarkStart w:id="9" w:name="page10"/>
      <w:bookmarkEnd w:id="9"/>
      <w:r>
        <w:rPr>
          <w:noProof/>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880350" cy="944689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58260" name="Picture 10"/>
                    <pic:cNvPicPr>
                      <a:picLocks noChangeAspect="1" noChangeArrowheads="1"/>
                    </pic:cNvPicPr>
                  </pic:nvPicPr>
                  <pic:blipFill>
                    <a:blip xmlns:r="http://schemas.openxmlformats.org/officeDocument/2006/relationships" r:embed="rId1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15" w:lineRule="exact"/>
        <w:rPr>
          <w:rFonts w:ascii="Times New Roman" w:hAnsi="Times New Roman"/>
          <w:sz w:val="24"/>
          <w:szCs w:val="24"/>
        </w:rPr>
      </w:pPr>
    </w:p>
    <w:p w:rsidR="00CD158B" w:rsidRPr="00AC32CB">
      <w:pPr>
        <w:widowControl w:val="0"/>
        <w:overflowPunct w:val="0"/>
        <w:autoSpaceDE w:val="0"/>
        <w:autoSpaceDN w:val="0"/>
        <w:adjustRightInd w:val="0"/>
        <w:spacing w:after="0" w:line="270" w:lineRule="auto"/>
        <w:ind w:left="383"/>
        <w:jc w:val="both"/>
        <w:rPr>
          <w:rFonts w:ascii="Times New Roman" w:hAnsi="Times New Roman"/>
          <w:sz w:val="24"/>
          <w:szCs w:val="24"/>
        </w:rPr>
      </w:pPr>
      <w:r>
        <w:rPr>
          <w:rFonts w:ascii="Arial" w:hAnsi="Arial" w:cs="Arial"/>
          <w:color w:val="1F1A17"/>
          <w:sz w:val="25"/>
          <w:szCs w:val="25"/>
        </w:rPr>
        <w:t>Hindistan’da gelişmekte olan Bilgi Teknolojileri sektörü, Hindistan</w:t>
      </w:r>
      <w:r w:rsidR="00765F05">
        <w:rPr>
          <w:rFonts w:ascii="Arial" w:hAnsi="Arial" w:cs="Arial"/>
          <w:color w:val="1F1A17"/>
          <w:sz w:val="25"/>
          <w:szCs w:val="25"/>
        </w:rPr>
        <w:t xml:space="preserve"> endüstrisinin potansiyel olarak</w:t>
      </w:r>
      <w:r>
        <w:rPr>
          <w:rFonts w:ascii="Arial" w:hAnsi="Arial" w:cs="Arial"/>
          <w:color w:val="1F1A17"/>
          <w:sz w:val="25"/>
          <w:szCs w:val="25"/>
        </w:rPr>
        <w:t xml:space="preserve"> dünya stand</w:t>
      </w:r>
      <w:r w:rsidR="00765F05">
        <w:rPr>
          <w:rFonts w:ascii="Arial" w:hAnsi="Arial" w:cs="Arial"/>
          <w:color w:val="1F1A17"/>
          <w:sz w:val="25"/>
          <w:szCs w:val="25"/>
        </w:rPr>
        <w:t>artlarında faaliyet gösterebileceğini sembolize eder.</w:t>
      </w:r>
    </w:p>
    <w:p w:rsidR="00CD158B" w:rsidRPr="00AC32CB">
      <w:pPr>
        <w:widowControl w:val="0"/>
        <w:autoSpaceDE w:val="0"/>
        <w:autoSpaceDN w:val="0"/>
        <w:adjustRightInd w:val="0"/>
        <w:spacing w:after="0" w:line="226" w:lineRule="exact"/>
        <w:rPr>
          <w:rFonts w:ascii="Times New Roman" w:hAnsi="Times New Roman"/>
          <w:sz w:val="24"/>
          <w:szCs w:val="24"/>
        </w:rPr>
      </w:pPr>
    </w:p>
    <w:p w:rsidR="00CD158B" w:rsidRPr="00AC32CB">
      <w:pPr>
        <w:widowControl w:val="0"/>
        <w:numPr>
          <w:ilvl w:val="0"/>
          <w:numId w:val="2"/>
        </w:numPr>
        <w:tabs>
          <w:tab w:val="num" w:pos="383"/>
          <w:tab w:val="clear" w:pos="720"/>
        </w:tabs>
        <w:overflowPunct w:val="0"/>
        <w:autoSpaceDE w:val="0"/>
        <w:autoSpaceDN w:val="0"/>
        <w:adjustRightInd w:val="0"/>
        <w:spacing w:after="0" w:line="268" w:lineRule="auto"/>
        <w:ind w:left="383" w:hanging="382"/>
        <w:jc w:val="both"/>
        <w:rPr>
          <w:rFonts w:ascii="Arial" w:hAnsi="Arial" w:cs="Arial"/>
          <w:color w:val="1F1A17"/>
          <w:sz w:val="25"/>
          <w:szCs w:val="25"/>
        </w:rPr>
      </w:pPr>
      <w:r>
        <w:rPr>
          <w:rFonts w:ascii="Arial" w:hAnsi="Arial" w:cs="Arial"/>
          <w:color w:val="1F1A17"/>
          <w:sz w:val="25"/>
          <w:szCs w:val="25"/>
        </w:rPr>
        <w:t>Küresel nüfusun çoğunlukla marjinal ve kalkınmakta olan ekonomilere dağılmış olması, enerji talebinden kaynaklı zorluklar ve kaliteli bir hayat için enerji alınabilirliliğinin önemi, bu günlerde enerji güvenliğine odaklanmanın yerinde olduğunu gösterir.</w:t>
      </w:r>
      <w:r w:rsidR="00013CFE">
        <w:rPr>
          <w:rFonts w:ascii="Arial" w:hAnsi="Arial" w:cs="Arial"/>
          <w:color w:val="1F1A17"/>
          <w:sz w:val="25"/>
          <w:szCs w:val="25"/>
        </w:rPr>
        <w:t xml:space="preserve"> Türkiye, Hindistan ve diğer ülkeler sürdürülebilir bir kü</w:t>
      </w:r>
      <w:r w:rsidR="00124953">
        <w:rPr>
          <w:rFonts w:ascii="Arial" w:hAnsi="Arial" w:cs="Arial"/>
          <w:color w:val="1F1A17"/>
          <w:sz w:val="25"/>
          <w:szCs w:val="25"/>
        </w:rPr>
        <w:t>resel enerji güvenliğine ihtiyaç duyuyorlar. Bu zorlu görev gelişmiş ülkelerde ve Hindistan, Türkiye gibi kalkınan ekonomilerde küresel ticari fırsatlarını ortaya çıkarıyor.</w:t>
      </w:r>
    </w:p>
    <w:p w:rsidR="00CD158B" w:rsidRPr="00AC32CB">
      <w:pPr>
        <w:widowControl w:val="0"/>
        <w:autoSpaceDE w:val="0"/>
        <w:autoSpaceDN w:val="0"/>
        <w:adjustRightInd w:val="0"/>
        <w:spacing w:after="0" w:line="231" w:lineRule="exact"/>
        <w:rPr>
          <w:rFonts w:ascii="Arial" w:hAnsi="Arial" w:cs="Arial"/>
          <w:color w:val="1F1A17"/>
          <w:sz w:val="25"/>
          <w:szCs w:val="25"/>
        </w:rPr>
      </w:pPr>
    </w:p>
    <w:p w:rsidR="00CD158B" w:rsidRPr="00AC32CB">
      <w:pPr>
        <w:widowControl w:val="0"/>
        <w:numPr>
          <w:ilvl w:val="0"/>
          <w:numId w:val="2"/>
        </w:numPr>
        <w:tabs>
          <w:tab w:val="num" w:pos="363"/>
          <w:tab w:val="clear" w:pos="720"/>
        </w:tabs>
        <w:overflowPunct w:val="0"/>
        <w:autoSpaceDE w:val="0"/>
        <w:autoSpaceDN w:val="0"/>
        <w:adjustRightInd w:val="0"/>
        <w:spacing w:after="0" w:line="269" w:lineRule="auto"/>
        <w:ind w:left="363" w:hanging="363"/>
        <w:jc w:val="both"/>
        <w:rPr>
          <w:rFonts w:ascii="Arial" w:hAnsi="Arial" w:cs="Arial"/>
          <w:color w:val="1F1A17"/>
          <w:sz w:val="25"/>
          <w:szCs w:val="25"/>
        </w:rPr>
      </w:pPr>
      <w:r>
        <w:rPr>
          <w:rFonts w:ascii="Arial" w:hAnsi="Arial" w:cs="Arial"/>
          <w:color w:val="1F1A17"/>
          <w:sz w:val="25"/>
          <w:szCs w:val="25"/>
        </w:rPr>
        <w:t>Hindistan’ın parlamenter demokrasi ve hızlı, modern</w:t>
      </w:r>
      <w:r w:rsidR="005E52C3">
        <w:rPr>
          <w:rFonts w:ascii="Arial" w:hAnsi="Arial" w:cs="Arial"/>
          <w:color w:val="1F1A17"/>
          <w:sz w:val="25"/>
          <w:szCs w:val="25"/>
        </w:rPr>
        <w:t>, yabancı yatırımcıları çeken</w:t>
      </w:r>
      <w:r>
        <w:rPr>
          <w:rFonts w:ascii="Arial" w:hAnsi="Arial" w:cs="Arial"/>
          <w:color w:val="1F1A17"/>
          <w:sz w:val="25"/>
          <w:szCs w:val="25"/>
        </w:rPr>
        <w:t xml:space="preserve"> bir ekonomiye sahip olmasına bağlı olarak istikrarlı ve güçlü bir politik sisteme sahip olması</w:t>
      </w:r>
      <w:r w:rsidR="005E52C3">
        <w:rPr>
          <w:rFonts w:ascii="Arial" w:hAnsi="Arial" w:cs="Arial"/>
          <w:color w:val="1F1A17"/>
          <w:sz w:val="25"/>
          <w:szCs w:val="25"/>
        </w:rPr>
        <w:t>, stratejik ortaklık ve uluslararası işbirliği için bir potansiyelin varlığını ortaya çıkartıyor. Bu durum Türkiye’nin ticareti, işletmeleri ve kültürel ilişkileri ortak bir insiyatif ile geliştirebilmesi için benzersiz bir fırsattır.</w:t>
      </w:r>
    </w:p>
    <w:p w:rsidR="00CD158B" w:rsidRPr="00AC32CB">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77" w:header="708" w:footer="708" w:gutter="0"/>
          <w:cols w:space="708" w:equalWidth="0">
            <w:col w:w="7923"/>
          </w:cols>
          <w:noEndnote/>
        </w:sect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00" w:lineRule="exact"/>
        <w:rPr>
          <w:rFonts w:ascii="Times New Roman" w:hAnsi="Times New Roman"/>
          <w:sz w:val="24"/>
          <w:szCs w:val="24"/>
        </w:rPr>
      </w:pPr>
    </w:p>
    <w:p w:rsidR="00CD158B" w:rsidRPr="00AC32CB">
      <w:pPr>
        <w:widowControl w:val="0"/>
        <w:autoSpaceDE w:val="0"/>
        <w:autoSpaceDN w:val="0"/>
        <w:adjustRightInd w:val="0"/>
        <w:spacing w:after="0" w:line="280" w:lineRule="exact"/>
        <w:rPr>
          <w:rFonts w:ascii="Times New Roman" w:hAnsi="Times New Roman"/>
          <w:sz w:val="24"/>
          <w:szCs w:val="24"/>
        </w:rPr>
      </w:pPr>
    </w:p>
    <w:p w:rsidR="00CD158B" w:rsidRPr="00AC32CB" w:rsidP="00765F05">
      <w:pPr>
        <w:widowControl w:val="0"/>
        <w:autoSpaceDE w:val="0"/>
        <w:autoSpaceDN w:val="0"/>
        <w:adjustRightInd w:val="0"/>
        <w:spacing w:after="0" w:line="240" w:lineRule="auto"/>
        <w:ind w:right="-196"/>
        <w:rPr>
          <w:rFonts w:ascii="Times New Roman" w:hAnsi="Times New Roman"/>
          <w:sz w:val="24"/>
          <w:szCs w:val="24"/>
        </w:rPr>
      </w:pPr>
      <w:r>
        <w:rPr>
          <w:rFonts w:ascii="Arial" w:hAnsi="Arial" w:cs="Arial"/>
          <w:color w:val="1F1A17"/>
          <w:sz w:val="17"/>
          <w:szCs w:val="17"/>
        </w:rPr>
        <w:t>HİNDİSTAN-TÜRKİYE Ticari ve Ekonomik İlişkiler: Geleceğe dair Beklentiler</w:t>
      </w:r>
    </w:p>
    <w:p w:rsidR="00CD158B" w:rsidRPr="00C80C0B">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5080" w:bottom="320" w:left="1440" w:header="708" w:footer="708" w:gutter="0"/>
          <w:cols w:space="708" w:equalWidth="0">
            <w:col w:w="5900"/>
          </w:cols>
          <w:noEndnote/>
        </w:sect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bookmarkStart w:id="10" w:name="page11"/>
      <w:bookmarkEnd w:id="10"/>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r>
        <w:rPr>
          <w:rFonts w:ascii="Times New Roman" w:hAnsi="Times New Roman"/>
          <w:noProof/>
          <w:sz w:val="24"/>
          <w:szCs w:val="24"/>
          <w:lang w:val="en-US" w:eastAsia="zh-TW"/>
        </w:rPr>
        <mc:AlternateContent>
          <mc:Choice Requires="wps">
            <w:drawing>
              <wp:anchor distT="0" distB="0" distL="114300" distR="114300" simplePos="0" relativeHeight="251729920" behindDoc="0" locked="0" layoutInCell="1" allowOverlap="1">
                <wp:simplePos x="0" y="0"/>
                <wp:positionH relativeFrom="column">
                  <wp:posOffset>-1007110</wp:posOffset>
                </wp:positionH>
                <wp:positionV relativeFrom="paragraph">
                  <wp:posOffset>-3175</wp:posOffset>
                </wp:positionV>
                <wp:extent cx="5066030" cy="1689100"/>
                <wp:effectExtent l="0" t="0" r="0" b="0"/>
                <wp:wrapNone/>
                <wp:docPr id="4" name="Text Box 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66030" cy="1689100"/>
                        </a:xfrm>
                        <a:prstGeom prst="rect">
                          <a:avLst/>
                        </a:prstGeom>
                        <a:solidFill>
                          <a:srgbClr val="FFFFFF">
                            <a:alpha val="0"/>
                          </a:srgbClr>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D120C" w:rsidRPr="004D120C" w:rsidP="004D120C">
                            <w:pPr>
                              <w:widowControl w:val="0"/>
                              <w:autoSpaceDE w:val="0"/>
                              <w:autoSpaceDN w:val="0"/>
                              <w:adjustRightInd w:val="0"/>
                              <w:spacing w:after="0" w:line="240" w:lineRule="auto"/>
                              <w:ind w:left="20"/>
                              <w:rPr>
                                <w:rFonts w:ascii="Times New Roman" w:hAnsi="Times New Roman"/>
                                <w:sz w:val="72"/>
                                <w:szCs w:val="72"/>
                              </w:rPr>
                            </w:pPr>
                            <w:r w:rsidRPr="004D120C">
                              <w:rPr>
                                <w:rFonts w:ascii="Arial" w:hAnsi="Arial" w:cs="Arial"/>
                                <w:b/>
                                <w:bCs/>
                                <w:color w:val="0A408A"/>
                                <w:sz w:val="72"/>
                                <w:szCs w:val="72"/>
                              </w:rPr>
                              <w:t>Karşılıklı Çıkarlara ait Büyük Sektörler</w:t>
                            </w:r>
                          </w:p>
                          <w:p w:rsidR="004D120C"/>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2" o:spid="_x0000_s1025" type="#_x0000_t202" style="width:398.9pt;height:112.5pt;margin-top:-0.25pt;margin-left:-79.3pt;mso-height-percent:200;mso-height-relative:margin;mso-width-percent:0;mso-width-relative:margin;mso-wrap-distance-bottom:0;mso-wrap-distance-left:9pt;mso-wrap-distance-right:9pt;mso-wrap-distance-top:0;mso-wrap-style:square;position:absolute;visibility:visible;v-text-anchor:top;z-index:251730944" stroked="f">
                <v:fill opacity="0"/>
                <v:textbox style="mso-fit-shape-to-text:t">
                  <w:txbxContent>
                    <w:p w:rsidR="004D120C" w:rsidRPr="004D120C" w:rsidP="004D120C">
                      <w:pPr>
                        <w:widowControl w:val="0"/>
                        <w:autoSpaceDE w:val="0"/>
                        <w:autoSpaceDN w:val="0"/>
                        <w:adjustRightInd w:val="0"/>
                        <w:spacing w:after="0" w:line="240" w:lineRule="auto"/>
                        <w:ind w:left="20"/>
                        <w:rPr>
                          <w:rFonts w:ascii="Times New Roman" w:hAnsi="Times New Roman"/>
                          <w:sz w:val="72"/>
                          <w:szCs w:val="72"/>
                        </w:rPr>
                      </w:pPr>
                      <w:r w:rsidRPr="004D120C">
                        <w:rPr>
                          <w:rFonts w:ascii="Arial" w:hAnsi="Arial" w:cs="Arial"/>
                          <w:b/>
                          <w:bCs/>
                          <w:color w:val="0A408A"/>
                          <w:sz w:val="72"/>
                          <w:szCs w:val="72"/>
                        </w:rPr>
                        <w:t>Karşılıklı Çıkarlara ait Büyük Sektörler</w:t>
                      </w:r>
                    </w:p>
                    <w:p w:rsidR="004D120C"/>
                  </w:txbxContent>
                </v:textbox>
              </v:shape>
            </w:pict>
          </mc:Fallback>
        </mc:AlternateContent>
      </w: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C80C0B">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rPr>
      </w:pPr>
    </w:p>
    <w:p w:rsidR="00CD158B" w:rsidRPr="006C5A81">
      <w:pPr>
        <w:widowControl w:val="0"/>
        <w:autoSpaceDE w:val="0"/>
        <w:autoSpaceDN w:val="0"/>
        <w:adjustRightInd w:val="0"/>
        <w:spacing w:after="0" w:line="200" w:lineRule="exact"/>
        <w:rPr>
          <w:rFonts w:ascii="Times New Roman" w:hAnsi="Times New Roman"/>
          <w:sz w:val="24"/>
          <w:szCs w:val="24"/>
        </w:rPr>
      </w:pPr>
    </w:p>
    <w:p w:rsidR="00CD158B" w:rsidRPr="006C5A81">
      <w:pPr>
        <w:widowControl w:val="0"/>
        <w:autoSpaceDE w:val="0"/>
        <w:autoSpaceDN w:val="0"/>
        <w:adjustRightInd w:val="0"/>
        <w:spacing w:after="0" w:line="200" w:lineRule="exact"/>
        <w:rPr>
          <w:rFonts w:ascii="Times New Roman" w:hAnsi="Times New Roman"/>
          <w:sz w:val="24"/>
          <w:szCs w:val="24"/>
        </w:rPr>
      </w:pPr>
    </w:p>
    <w:p w:rsidR="00CD158B" w:rsidRPr="006C5A81">
      <w:pPr>
        <w:widowControl w:val="0"/>
        <w:autoSpaceDE w:val="0"/>
        <w:autoSpaceDN w:val="0"/>
        <w:adjustRightInd w:val="0"/>
        <w:spacing w:after="0" w:line="245" w:lineRule="exact"/>
        <w:rPr>
          <w:rFonts w:ascii="Times New Roman" w:hAnsi="Times New Roman"/>
          <w:sz w:val="24"/>
          <w:szCs w:val="24"/>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bookmarkStart w:id="11" w:name="page35"/>
      <w:bookmarkEnd w:id="11"/>
      <w:r>
        <w:rPr>
          <w:noProof/>
          <w:highlight w:val="green"/>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880350" cy="8453755"/>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2444" name="Picture 41"/>
                    <pic:cNvPicPr>
                      <a:picLocks noChangeAspect="1" noChangeArrowheads="1"/>
                    </pic:cNvPicPr>
                  </pic:nvPicPr>
                  <pic:blipFill>
                    <a:blip xmlns:r="http://schemas.openxmlformats.org/officeDocument/2006/relationships" r:embed="rId1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845375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A45A05" w:rsidRPr="007C5F5A" w:rsidP="00A45A05">
      <w:pPr>
        <w:widowControl w:val="0"/>
        <w:autoSpaceDE w:val="0"/>
        <w:autoSpaceDN w:val="0"/>
        <w:adjustRightInd w:val="0"/>
        <w:spacing w:after="0" w:line="20" w:lineRule="exact"/>
        <w:rPr>
          <w:rFonts w:ascii="Times New Roman" w:hAnsi="Times New Roman"/>
          <w:sz w:val="24"/>
          <w:szCs w:val="24"/>
        </w:rPr>
      </w:pPr>
    </w:p>
    <w:p w:rsidR="00A45A05" w:rsidRPr="007C5F5A" w:rsidP="00A45A05">
      <w:pPr>
        <w:widowControl w:val="0"/>
        <w:autoSpaceDE w:val="0"/>
        <w:autoSpaceDN w:val="0"/>
        <w:adjustRightInd w:val="0"/>
        <w:spacing w:after="0" w:line="20" w:lineRule="exact"/>
        <w:rPr>
          <w:rFonts w:ascii="Times New Roman" w:hAnsi="Times New Roman"/>
          <w:sz w:val="24"/>
          <w:szCs w:val="24"/>
        </w:rPr>
        <w:sectPr>
          <w:pgSz w:w="12420" w:h="16180"/>
          <w:pgMar w:top="1440" w:right="920" w:bottom="1440" w:left="4460" w:header="708" w:footer="708" w:gutter="0"/>
          <w:cols w:space="708" w:equalWidth="0">
            <w:col w:w="704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880350" cy="9446895"/>
            <wp:effectExtent l="0" t="0" r="0" b="0"/>
            <wp:wrapNone/>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83075" name="Picture 151"/>
                    <pic:cNvPicPr>
                      <a:picLocks noChangeAspect="1" noChangeArrowheads="1"/>
                    </pic:cNvPicPr>
                  </pic:nvPicPr>
                  <pic:blipFill>
                    <a:blip xmlns:r="http://schemas.openxmlformats.org/officeDocument/2006/relationships" r:embed="rId1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9"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0"/>
        <w:rPr>
          <w:rFonts w:ascii="Times New Roman" w:hAnsi="Times New Roman"/>
          <w:sz w:val="24"/>
          <w:szCs w:val="24"/>
        </w:rPr>
      </w:pPr>
      <w:r w:rsidRPr="00493D0A">
        <w:rPr>
          <w:rFonts w:ascii="Arial" w:hAnsi="Arial" w:cs="Arial"/>
          <w:b/>
          <w:bCs/>
          <w:color w:val="0A408A"/>
          <w:sz w:val="48"/>
          <w:szCs w:val="48"/>
        </w:rPr>
        <w:t>Karşılıklı Çıkarlara ait Büyük Sektörler</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28"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0"/>
        <w:rPr>
          <w:rFonts w:ascii="Times New Roman" w:hAnsi="Times New Roman"/>
          <w:sz w:val="24"/>
          <w:szCs w:val="24"/>
        </w:rPr>
      </w:pPr>
      <w:r w:rsidRPr="007C5F5A">
        <w:rPr>
          <w:rFonts w:ascii="Arial" w:hAnsi="Arial" w:cs="Arial"/>
          <w:color w:val="0A408A"/>
          <w:sz w:val="30"/>
          <w:szCs w:val="30"/>
        </w:rPr>
        <w:t>Otomobil Sektörü</w:t>
      </w:r>
    </w:p>
    <w:p w:rsidR="00A45A05" w:rsidRPr="007C5F5A" w:rsidP="00A45A05">
      <w:pPr>
        <w:widowControl w:val="0"/>
        <w:autoSpaceDE w:val="0"/>
        <w:autoSpaceDN w:val="0"/>
        <w:adjustRightInd w:val="0"/>
        <w:spacing w:after="0" w:line="215"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0"/>
        <w:rPr>
          <w:rFonts w:ascii="Times New Roman" w:hAnsi="Times New Roman"/>
          <w:sz w:val="24"/>
          <w:szCs w:val="24"/>
        </w:rPr>
      </w:pPr>
      <w:r w:rsidRPr="007C5F5A">
        <w:rPr>
          <w:rFonts w:ascii="Arial" w:hAnsi="Arial" w:cs="Arial"/>
          <w:color w:val="E87817"/>
          <w:sz w:val="26"/>
          <w:szCs w:val="26"/>
        </w:rPr>
        <w:t>Türkiye</w:t>
      </w:r>
    </w:p>
    <w:p w:rsidR="00A45A05" w:rsidRPr="007C5F5A" w:rsidP="00A45A05">
      <w:pPr>
        <w:widowControl w:val="0"/>
        <w:autoSpaceDE w:val="0"/>
        <w:autoSpaceDN w:val="0"/>
        <w:adjustRightInd w:val="0"/>
        <w:spacing w:after="0" w:line="25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9" w:lineRule="auto"/>
        <w:ind w:left="20"/>
        <w:jc w:val="both"/>
        <w:rPr>
          <w:rFonts w:ascii="Times New Roman" w:hAnsi="Times New Roman"/>
          <w:sz w:val="24"/>
          <w:szCs w:val="24"/>
        </w:rPr>
      </w:pPr>
      <w:r w:rsidRPr="007C5F5A">
        <w:rPr>
          <w:rFonts w:ascii="Arial" w:hAnsi="Arial" w:cs="Arial"/>
          <w:color w:val="1F1A17"/>
        </w:rPr>
        <w:t>Türkiye, Paris kökenli Uluslararası Motorlu Taşıt Üreticileri Birliğinin (OICA) 2012 istatistik raporlarına göre, Avrupa içerisinde 6.</w:t>
      </w:r>
      <w:r w:rsidR="00493D0A">
        <w:rPr>
          <w:rFonts w:ascii="Arial" w:hAnsi="Arial" w:cs="Arial"/>
          <w:color w:val="1F1A17"/>
        </w:rPr>
        <w:t>ıncı</w:t>
      </w:r>
      <w:r w:rsidRPr="007C5F5A">
        <w:rPr>
          <w:rFonts w:ascii="Arial" w:hAnsi="Arial" w:cs="Arial"/>
          <w:color w:val="1F1A17"/>
        </w:rPr>
        <w:t xml:space="preserve">, Dünya’da ise 16. büyük motorlu taşıt imalatçısı olarak sıralanmıştır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9" w:lineRule="auto"/>
        <w:ind w:left="20"/>
        <w:jc w:val="both"/>
        <w:rPr>
          <w:rFonts w:ascii="Arial" w:hAnsi="Arial" w:cs="Arial"/>
          <w:color w:val="1F1A17"/>
        </w:rPr>
      </w:pPr>
      <w:r w:rsidRPr="007C5F5A">
        <w:rPr>
          <w:rFonts w:ascii="Arial" w:hAnsi="Arial" w:cs="Arial"/>
          <w:color w:val="1F1A17"/>
        </w:rPr>
        <w:t xml:space="preserve">Türkiye,  Avrupa’da ki en büyük ticari taşıt imalatçısıyken, dünyada da 8. </w:t>
      </w:r>
      <w:r w:rsidRPr="007C5F5A" w:rsidR="00493D0A">
        <w:rPr>
          <w:rFonts w:ascii="Arial" w:hAnsi="Arial" w:cs="Arial"/>
          <w:color w:val="1F1A17"/>
        </w:rPr>
        <w:t>Büyük ticari</w:t>
      </w:r>
      <w:r w:rsidRPr="007C5F5A">
        <w:rPr>
          <w:rFonts w:ascii="Arial" w:hAnsi="Arial" w:cs="Arial"/>
          <w:color w:val="1F1A17"/>
        </w:rPr>
        <w:t xml:space="preserve"> taşıt üreticisidir. Avrupa </w:t>
      </w:r>
      <w:r w:rsidRPr="007C5F5A" w:rsidR="00493D0A">
        <w:rPr>
          <w:rFonts w:ascii="Arial" w:hAnsi="Arial" w:cs="Arial"/>
          <w:color w:val="1F1A17"/>
        </w:rPr>
        <w:t>da, sadece</w:t>
      </w:r>
      <w:r w:rsidRPr="007C5F5A">
        <w:rPr>
          <w:rFonts w:ascii="Arial" w:hAnsi="Arial" w:cs="Arial"/>
          <w:color w:val="1F1A17"/>
        </w:rPr>
        <w:t xml:space="preserve"> Almanya, İspanya, Fransa, Rusya ve İngiltere 2010 yılında Türkiye’den daha fala motorlu taşıt üretimi yapmıştır.</w:t>
      </w:r>
    </w:p>
    <w:p w:rsidR="00A45A05" w:rsidRPr="007C5F5A" w:rsidP="00A45A05">
      <w:pPr>
        <w:widowControl w:val="0"/>
        <w:autoSpaceDE w:val="0"/>
        <w:autoSpaceDN w:val="0"/>
        <w:adjustRightInd w:val="0"/>
        <w:spacing w:after="0" w:line="4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0"/>
        <w:rPr>
          <w:rFonts w:ascii="Times New Roman" w:hAnsi="Times New Roman"/>
          <w:sz w:val="20"/>
        </w:rPr>
      </w:pPr>
      <w:r w:rsidRPr="007C5F5A">
        <w:rPr>
          <w:rFonts w:ascii="Arial" w:hAnsi="Arial" w:cs="Arial"/>
          <w:b/>
          <w:bCs/>
          <w:color w:val="E87817"/>
          <w:sz w:val="20"/>
        </w:rPr>
        <w:t xml:space="preserve">Türk Otomotiv Sektöründeki Gelişmeler ( 2002-2010) </w:t>
      </w:r>
    </w:p>
    <w:p w:rsidR="00A45A05" w:rsidRPr="007C5F5A" w:rsidP="00A45A05">
      <w:pPr>
        <w:widowControl w:val="0"/>
        <w:autoSpaceDE w:val="0"/>
        <w:autoSpaceDN w:val="0"/>
        <w:adjustRightInd w:val="0"/>
        <w:spacing w:after="0" w:line="118" w:lineRule="exact"/>
        <w:rPr>
          <w:rFonts w:ascii="Times New Roman" w:hAnsi="Times New Roman"/>
          <w:sz w:val="20"/>
        </w:rPr>
      </w:pPr>
    </w:p>
    <w:p w:rsidR="00A45A05" w:rsidRPr="007C5F5A" w:rsidP="00A45A05">
      <w:pPr>
        <w:widowControl w:val="0"/>
        <w:autoSpaceDE w:val="0"/>
        <w:autoSpaceDN w:val="0"/>
        <w:adjustRightInd w:val="0"/>
        <w:spacing w:after="0" w:line="240" w:lineRule="auto"/>
        <w:ind w:left="3460"/>
        <w:rPr>
          <w:rFonts w:ascii="Times New Roman" w:hAnsi="Times New Roman"/>
          <w:sz w:val="20"/>
        </w:rPr>
      </w:pPr>
      <w:r w:rsidRPr="007C5F5A">
        <w:rPr>
          <w:rFonts w:ascii="Arial" w:hAnsi="Arial" w:cs="Arial"/>
          <w:b/>
          <w:bCs/>
          <w:color w:val="1F1A17"/>
          <w:sz w:val="20"/>
        </w:rPr>
        <w:t>(000 Birim)</w:t>
      </w:r>
    </w:p>
    <w:p w:rsidR="00A45A05" w:rsidRPr="007C5F5A" w:rsidP="00A45A05">
      <w:pPr>
        <w:widowControl w:val="0"/>
        <w:autoSpaceDE w:val="0"/>
        <w:autoSpaceDN w:val="0"/>
        <w:adjustRightInd w:val="0"/>
        <w:spacing w:after="0" w:line="185" w:lineRule="exact"/>
        <w:rPr>
          <w:rFonts w:ascii="Times New Roman" w:hAnsi="Times New Roman"/>
          <w:sz w:val="20"/>
        </w:rPr>
      </w:pPr>
    </w:p>
    <w:tbl>
      <w:tblPr>
        <w:tblW w:w="0" w:type="auto"/>
        <w:tblInd w:w="20" w:type="dxa"/>
        <w:tblLayout w:type="fixed"/>
        <w:tblCellMar>
          <w:left w:w="0" w:type="dxa"/>
          <w:right w:w="0" w:type="dxa"/>
        </w:tblCellMar>
        <w:tblLook w:val="0000"/>
      </w:tblPr>
      <w:tblGrid>
        <w:gridCol w:w="1800"/>
        <w:gridCol w:w="560"/>
        <w:gridCol w:w="700"/>
        <w:gridCol w:w="680"/>
        <w:gridCol w:w="680"/>
        <w:gridCol w:w="700"/>
        <w:gridCol w:w="700"/>
        <w:gridCol w:w="700"/>
        <w:gridCol w:w="640"/>
        <w:gridCol w:w="760"/>
      </w:tblGrid>
      <w:tr w:rsidTr="00BE30FE">
        <w:tblPrEx>
          <w:tblW w:w="0" w:type="auto"/>
          <w:tblInd w:w="20" w:type="dxa"/>
          <w:tblLayout w:type="fixed"/>
          <w:tblCellMar>
            <w:left w:w="0" w:type="dxa"/>
            <w:right w:w="0" w:type="dxa"/>
          </w:tblCellMar>
          <w:tblLook w:val="0000"/>
        </w:tblPrEx>
        <w:trPr>
          <w:trHeight w:val="241"/>
        </w:trPr>
        <w:tc>
          <w:tcPr>
            <w:tcW w:w="180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5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b/>
                <w:bCs/>
                <w:color w:val="FFFFFF"/>
                <w:sz w:val="20"/>
              </w:rPr>
              <w:t>200      2</w:t>
            </w:r>
          </w:p>
        </w:tc>
        <w:tc>
          <w:tcPr>
            <w:tcW w:w="70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b/>
                <w:bCs/>
                <w:color w:val="FFFFFF"/>
                <w:sz w:val="20"/>
              </w:rPr>
              <w:t>2003</w:t>
            </w:r>
          </w:p>
        </w:tc>
        <w:tc>
          <w:tcPr>
            <w:tcW w:w="6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b/>
                <w:bCs/>
                <w:color w:val="FFFFFF"/>
                <w:sz w:val="20"/>
              </w:rPr>
              <w:t>2004</w:t>
            </w:r>
          </w:p>
        </w:tc>
        <w:tc>
          <w:tcPr>
            <w:tcW w:w="6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b/>
                <w:bCs/>
                <w:color w:val="FFFFFF"/>
                <w:sz w:val="20"/>
              </w:rPr>
              <w:t>2005</w:t>
            </w:r>
          </w:p>
        </w:tc>
        <w:tc>
          <w:tcPr>
            <w:tcW w:w="70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b/>
                <w:bCs/>
                <w:color w:val="FFFFFF"/>
                <w:sz w:val="20"/>
              </w:rPr>
              <w:t>2006</w:t>
            </w:r>
          </w:p>
        </w:tc>
        <w:tc>
          <w:tcPr>
            <w:tcW w:w="70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b/>
                <w:bCs/>
                <w:color w:val="FFFFFF"/>
                <w:sz w:val="20"/>
              </w:rPr>
              <w:t>2007</w:t>
            </w:r>
          </w:p>
        </w:tc>
        <w:tc>
          <w:tcPr>
            <w:tcW w:w="70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b/>
                <w:bCs/>
                <w:color w:val="FFFFFF"/>
                <w:sz w:val="20"/>
              </w:rPr>
              <w:t>2008</w:t>
            </w:r>
          </w:p>
        </w:tc>
        <w:tc>
          <w:tcPr>
            <w:tcW w:w="64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b/>
                <w:bCs/>
                <w:color w:val="FFFFFF"/>
                <w:sz w:val="20"/>
              </w:rPr>
              <w:t>2009</w:t>
            </w:r>
          </w:p>
        </w:tc>
        <w:tc>
          <w:tcPr>
            <w:tcW w:w="7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b/>
                <w:bCs/>
                <w:color w:val="FFFFFF"/>
                <w:sz w:val="20"/>
              </w:rPr>
              <w:t>2010</w:t>
            </w:r>
          </w:p>
        </w:tc>
      </w:tr>
      <w:tr w:rsidTr="00BE30FE">
        <w:tblPrEx>
          <w:tblW w:w="0" w:type="auto"/>
          <w:tblInd w:w="20" w:type="dxa"/>
          <w:tblLayout w:type="fixed"/>
          <w:tblCellMar>
            <w:left w:w="0" w:type="dxa"/>
            <w:right w:w="0" w:type="dxa"/>
          </w:tblCellMar>
          <w:tblLook w:val="0000"/>
        </w:tblPrEx>
        <w:trPr>
          <w:trHeight w:val="241"/>
        </w:trPr>
        <w:tc>
          <w:tcPr>
            <w:tcW w:w="18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0"/>
              </w:rPr>
            </w:pPr>
            <w:r w:rsidRPr="007C5F5A">
              <w:rPr>
                <w:rFonts w:ascii="Arial" w:hAnsi="Arial" w:cs="Arial"/>
                <w:b/>
                <w:bCs/>
                <w:color w:val="1F1A17"/>
                <w:sz w:val="20"/>
              </w:rPr>
              <w:t>Üretim</w:t>
            </w:r>
          </w:p>
        </w:tc>
        <w:tc>
          <w:tcPr>
            <w:tcW w:w="5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357</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color w:val="1F1A17"/>
                <w:sz w:val="20"/>
              </w:rPr>
              <w:t>562</w:t>
            </w:r>
          </w:p>
        </w:tc>
        <w:tc>
          <w:tcPr>
            <w:tcW w:w="68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862</w:t>
            </w:r>
          </w:p>
        </w:tc>
        <w:tc>
          <w:tcPr>
            <w:tcW w:w="68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914</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1,024</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1,132</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1,171</w:t>
            </w:r>
          </w:p>
        </w:tc>
        <w:tc>
          <w:tcPr>
            <w:tcW w:w="64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color w:val="1F1A17"/>
                <w:sz w:val="20"/>
              </w:rPr>
              <w:t>884</w:t>
            </w:r>
          </w:p>
        </w:tc>
        <w:tc>
          <w:tcPr>
            <w:tcW w:w="7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color w:val="1F1A17"/>
                <w:sz w:val="20"/>
              </w:rPr>
              <w:t>1,124</w:t>
            </w:r>
          </w:p>
        </w:tc>
      </w:tr>
      <w:tr w:rsidTr="00BE30FE">
        <w:tblPrEx>
          <w:tblW w:w="0" w:type="auto"/>
          <w:tblInd w:w="20" w:type="dxa"/>
          <w:tblLayout w:type="fixed"/>
          <w:tblCellMar>
            <w:left w:w="0" w:type="dxa"/>
            <w:right w:w="0" w:type="dxa"/>
          </w:tblCellMar>
          <w:tblLook w:val="0000"/>
        </w:tblPrEx>
        <w:trPr>
          <w:trHeight w:val="224"/>
        </w:trPr>
        <w:tc>
          <w:tcPr>
            <w:tcW w:w="1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0"/>
              </w:rPr>
            </w:pPr>
            <w:r w:rsidRPr="007C5F5A">
              <w:rPr>
                <w:rFonts w:ascii="Arial" w:hAnsi="Arial" w:cs="Arial"/>
                <w:b/>
                <w:bCs/>
                <w:color w:val="1F1A17"/>
                <w:sz w:val="20"/>
              </w:rPr>
              <w:t>İhracat</w:t>
            </w:r>
          </w:p>
        </w:tc>
        <w:tc>
          <w:tcPr>
            <w:tcW w:w="5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262</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color w:val="1F1A17"/>
                <w:sz w:val="20"/>
              </w:rPr>
              <w:t>360</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518</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561</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706</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828</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920</w:t>
            </w:r>
          </w:p>
        </w:tc>
        <w:tc>
          <w:tcPr>
            <w:tcW w:w="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color w:val="1F1A17"/>
                <w:sz w:val="20"/>
              </w:rPr>
              <w:t>637</w:t>
            </w: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color w:val="1F1A17"/>
                <w:sz w:val="20"/>
              </w:rPr>
              <w:t>763</w:t>
            </w:r>
          </w:p>
        </w:tc>
      </w:tr>
      <w:tr w:rsidTr="00BE30FE">
        <w:tblPrEx>
          <w:tblW w:w="0" w:type="auto"/>
          <w:tblInd w:w="20" w:type="dxa"/>
          <w:tblLayout w:type="fixed"/>
          <w:tblCellMar>
            <w:left w:w="0" w:type="dxa"/>
            <w:right w:w="0" w:type="dxa"/>
          </w:tblCellMar>
          <w:tblLook w:val="0000"/>
        </w:tblPrEx>
        <w:trPr>
          <w:trHeight w:val="37"/>
        </w:trPr>
        <w:tc>
          <w:tcPr>
            <w:tcW w:w="1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5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r>
      <w:tr w:rsidTr="00BE30FE">
        <w:tblPrEx>
          <w:tblW w:w="0" w:type="auto"/>
          <w:tblInd w:w="20" w:type="dxa"/>
          <w:tblLayout w:type="fixed"/>
          <w:tblCellMar>
            <w:left w:w="0" w:type="dxa"/>
            <w:right w:w="0" w:type="dxa"/>
          </w:tblCellMar>
          <w:tblLook w:val="0000"/>
        </w:tblPrEx>
        <w:trPr>
          <w:trHeight w:val="241"/>
        </w:trPr>
        <w:tc>
          <w:tcPr>
            <w:tcW w:w="18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0"/>
              </w:rPr>
            </w:pPr>
            <w:r w:rsidRPr="007C5F5A">
              <w:rPr>
                <w:rFonts w:ascii="Arial" w:hAnsi="Arial" w:cs="Arial"/>
                <w:b/>
                <w:bCs/>
                <w:color w:val="1F1A17"/>
                <w:sz w:val="20"/>
              </w:rPr>
              <w:t>Satış</w:t>
            </w:r>
          </w:p>
        </w:tc>
        <w:tc>
          <w:tcPr>
            <w:tcW w:w="5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175</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color w:val="1F1A17"/>
                <w:sz w:val="20"/>
              </w:rPr>
              <w:t>401</w:t>
            </w:r>
          </w:p>
        </w:tc>
        <w:tc>
          <w:tcPr>
            <w:tcW w:w="68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754</w:t>
            </w:r>
          </w:p>
        </w:tc>
        <w:tc>
          <w:tcPr>
            <w:tcW w:w="68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763</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670</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641</w:t>
            </w:r>
          </w:p>
        </w:tc>
        <w:tc>
          <w:tcPr>
            <w:tcW w:w="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526</w:t>
            </w:r>
          </w:p>
        </w:tc>
        <w:tc>
          <w:tcPr>
            <w:tcW w:w="64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color w:val="1F1A17"/>
                <w:sz w:val="20"/>
              </w:rPr>
              <w:t>575</w:t>
            </w:r>
          </w:p>
        </w:tc>
        <w:tc>
          <w:tcPr>
            <w:tcW w:w="7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color w:val="1F1A17"/>
                <w:sz w:val="20"/>
              </w:rPr>
              <w:t>793</w:t>
            </w:r>
          </w:p>
        </w:tc>
      </w:tr>
      <w:tr w:rsidTr="00BE30FE">
        <w:tblPrEx>
          <w:tblW w:w="0" w:type="auto"/>
          <w:tblInd w:w="20" w:type="dxa"/>
          <w:tblLayout w:type="fixed"/>
          <w:tblCellMar>
            <w:left w:w="0" w:type="dxa"/>
            <w:right w:w="0" w:type="dxa"/>
          </w:tblCellMar>
          <w:tblLook w:val="0000"/>
        </w:tblPrEx>
        <w:trPr>
          <w:trHeight w:val="224"/>
        </w:trPr>
        <w:tc>
          <w:tcPr>
            <w:tcW w:w="1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0"/>
              </w:rPr>
            </w:pPr>
            <w:r w:rsidRPr="007C5F5A">
              <w:rPr>
                <w:rFonts w:ascii="Arial" w:hAnsi="Arial" w:cs="Arial"/>
                <w:b/>
                <w:bCs/>
                <w:color w:val="1F1A17"/>
                <w:sz w:val="20"/>
              </w:rPr>
              <w:t>İthalat</w:t>
            </w:r>
          </w:p>
        </w:tc>
        <w:tc>
          <w:tcPr>
            <w:tcW w:w="5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83</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color w:val="1F1A17"/>
                <w:sz w:val="20"/>
              </w:rPr>
              <w:t>223</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436</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438</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384</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359</w:t>
            </w: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306</w:t>
            </w:r>
          </w:p>
        </w:tc>
        <w:tc>
          <w:tcPr>
            <w:tcW w:w="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color w:val="1F1A17"/>
                <w:sz w:val="20"/>
              </w:rPr>
              <w:t>267</w:t>
            </w: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color w:val="1F1A17"/>
                <w:sz w:val="20"/>
              </w:rPr>
              <w:t>465</w:t>
            </w:r>
          </w:p>
        </w:tc>
      </w:tr>
      <w:tr w:rsidTr="00BE30FE">
        <w:tblPrEx>
          <w:tblW w:w="0" w:type="auto"/>
          <w:tblInd w:w="20" w:type="dxa"/>
          <w:tblLayout w:type="fixed"/>
          <w:tblCellMar>
            <w:left w:w="0" w:type="dxa"/>
            <w:right w:w="0" w:type="dxa"/>
          </w:tblCellMar>
          <w:tblLook w:val="0000"/>
        </w:tblPrEx>
        <w:trPr>
          <w:trHeight w:val="37"/>
        </w:trPr>
        <w:tc>
          <w:tcPr>
            <w:tcW w:w="1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5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r>
      <w:tr w:rsidTr="00BE30FE">
        <w:tblPrEx>
          <w:tblW w:w="0" w:type="auto"/>
          <w:tblInd w:w="20" w:type="dxa"/>
          <w:tblLayout w:type="fixed"/>
          <w:tblCellMar>
            <w:left w:w="0" w:type="dxa"/>
            <w:right w:w="0" w:type="dxa"/>
          </w:tblCellMar>
          <w:tblLook w:val="0000"/>
        </w:tblPrEx>
        <w:trPr>
          <w:trHeight w:val="225"/>
        </w:trPr>
        <w:tc>
          <w:tcPr>
            <w:tcW w:w="18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0"/>
              </w:rPr>
            </w:pPr>
            <w:r w:rsidRPr="007C5F5A">
              <w:rPr>
                <w:rFonts w:ascii="Arial" w:hAnsi="Arial" w:cs="Arial"/>
                <w:b/>
                <w:bCs/>
                <w:color w:val="1F1A17"/>
                <w:sz w:val="20"/>
              </w:rPr>
              <w:t>İhracat yüzdesi(%)</w:t>
            </w:r>
          </w:p>
        </w:tc>
        <w:tc>
          <w:tcPr>
            <w:tcW w:w="5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73</w:t>
            </w: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0"/>
              </w:rPr>
            </w:pPr>
            <w:r w:rsidRPr="007C5F5A">
              <w:rPr>
                <w:rFonts w:ascii="Arial" w:hAnsi="Arial" w:cs="Arial"/>
                <w:color w:val="1F1A17"/>
                <w:sz w:val="20"/>
              </w:rPr>
              <w:t>64</w:t>
            </w:r>
          </w:p>
        </w:tc>
        <w:tc>
          <w:tcPr>
            <w:tcW w:w="6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60</w:t>
            </w:r>
          </w:p>
        </w:tc>
        <w:tc>
          <w:tcPr>
            <w:tcW w:w="6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61</w:t>
            </w: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69</w:t>
            </w: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0"/>
              </w:rPr>
            </w:pPr>
            <w:r w:rsidRPr="007C5F5A">
              <w:rPr>
                <w:rFonts w:ascii="Arial" w:hAnsi="Arial" w:cs="Arial"/>
                <w:color w:val="1F1A17"/>
                <w:sz w:val="20"/>
              </w:rPr>
              <w:t>73</w:t>
            </w: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0"/>
              </w:rPr>
            </w:pPr>
            <w:r w:rsidRPr="007C5F5A">
              <w:rPr>
                <w:rFonts w:ascii="Arial" w:hAnsi="Arial" w:cs="Arial"/>
                <w:color w:val="1F1A17"/>
                <w:sz w:val="20"/>
              </w:rPr>
              <w:t>79</w:t>
            </w:r>
          </w:p>
        </w:tc>
        <w:tc>
          <w:tcPr>
            <w:tcW w:w="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0"/>
              </w:rPr>
            </w:pPr>
            <w:r w:rsidRPr="007C5F5A">
              <w:rPr>
                <w:rFonts w:ascii="Arial" w:hAnsi="Arial" w:cs="Arial"/>
                <w:color w:val="1F1A17"/>
                <w:sz w:val="20"/>
              </w:rPr>
              <w:t>72</w:t>
            </w:r>
          </w:p>
        </w:tc>
        <w:tc>
          <w:tcPr>
            <w:tcW w:w="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0"/>
              </w:rPr>
            </w:pPr>
            <w:r w:rsidRPr="007C5F5A">
              <w:rPr>
                <w:rFonts w:ascii="Arial" w:hAnsi="Arial" w:cs="Arial"/>
                <w:color w:val="1F1A17"/>
                <w:sz w:val="20"/>
              </w:rPr>
              <w:t>68</w:t>
            </w:r>
          </w:p>
        </w:tc>
      </w:tr>
      <w:tr w:rsidTr="00BE30FE">
        <w:tblPrEx>
          <w:tblW w:w="0" w:type="auto"/>
          <w:tblInd w:w="20" w:type="dxa"/>
          <w:tblLayout w:type="fixed"/>
          <w:tblCellMar>
            <w:left w:w="0" w:type="dxa"/>
            <w:right w:w="0" w:type="dxa"/>
          </w:tblCellMar>
          <w:tblLook w:val="0000"/>
        </w:tblPrEx>
        <w:trPr>
          <w:trHeight w:val="36"/>
        </w:trPr>
        <w:tc>
          <w:tcPr>
            <w:tcW w:w="18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5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c>
          <w:tcPr>
            <w:tcW w:w="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0"/>
              </w:rPr>
            </w:pPr>
          </w:p>
        </w:tc>
      </w:tr>
    </w:tbl>
    <w:p w:rsidR="00A45A05" w:rsidRPr="007C5F5A" w:rsidP="00A45A05">
      <w:pPr>
        <w:widowControl w:val="0"/>
        <w:autoSpaceDE w:val="0"/>
        <w:autoSpaceDN w:val="0"/>
        <w:adjustRightInd w:val="0"/>
        <w:spacing w:after="0" w:line="149" w:lineRule="exact"/>
        <w:rPr>
          <w:rFonts w:ascii="Times New Roman" w:hAnsi="Times New Roman"/>
          <w:sz w:val="20"/>
        </w:rPr>
      </w:pPr>
    </w:p>
    <w:p w:rsidR="00A45A05" w:rsidRPr="007C5F5A" w:rsidP="00A45A05">
      <w:pPr>
        <w:widowControl w:val="0"/>
        <w:autoSpaceDE w:val="0"/>
        <w:autoSpaceDN w:val="0"/>
        <w:adjustRightInd w:val="0"/>
        <w:spacing w:after="0" w:line="240" w:lineRule="auto"/>
        <w:rPr>
          <w:rFonts w:ascii="Times New Roman" w:hAnsi="Times New Roman"/>
          <w:sz w:val="20"/>
        </w:rPr>
      </w:pPr>
      <w:r w:rsidRPr="007C5F5A">
        <w:rPr>
          <w:rFonts w:ascii="Arial" w:hAnsi="Arial" w:cs="Arial"/>
          <w:i/>
          <w:iCs/>
          <w:color w:val="1F1A17"/>
          <w:sz w:val="20"/>
        </w:rPr>
        <w:t>Kaynak: Otomobil Üreticileri Birliği (OSD)</w:t>
      </w:r>
    </w:p>
    <w:p w:rsidR="00A45A05" w:rsidRPr="007C5F5A" w:rsidP="00A45A05">
      <w:pPr>
        <w:widowControl w:val="0"/>
        <w:autoSpaceDE w:val="0"/>
        <w:autoSpaceDN w:val="0"/>
        <w:adjustRightInd w:val="0"/>
        <w:spacing w:after="0" w:line="342"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left="20"/>
        <w:jc w:val="both"/>
        <w:rPr>
          <w:rFonts w:ascii="Times New Roman" w:hAnsi="Times New Roman"/>
          <w:sz w:val="24"/>
          <w:szCs w:val="24"/>
        </w:rPr>
      </w:pPr>
      <w:r w:rsidRPr="007C5F5A">
        <w:rPr>
          <w:rFonts w:ascii="Arial" w:hAnsi="Arial" w:cs="Arial"/>
          <w:color w:val="1F1A17"/>
        </w:rPr>
        <w:t xml:space="preserve">Türkiye’nin otomobil endüstrisi, 1996 yılında Avrupa Birliği ile yapılan gümrük birliğinin faaliyete geçirilmesiyle gelişmeye </w:t>
      </w:r>
      <w:r w:rsidRPr="007C5F5A" w:rsidR="00493D0A">
        <w:rPr>
          <w:rFonts w:ascii="Arial" w:hAnsi="Arial" w:cs="Arial"/>
          <w:color w:val="1F1A17"/>
        </w:rPr>
        <w:t>başlamıştır, dünya</w:t>
      </w:r>
      <w:r w:rsidRPr="007C5F5A">
        <w:rPr>
          <w:rFonts w:ascii="Arial" w:hAnsi="Arial" w:cs="Arial"/>
          <w:color w:val="1F1A17"/>
        </w:rPr>
        <w:t xml:space="preserve"> üzerindeki büyük üreticiler </w:t>
      </w:r>
      <w:r w:rsidRPr="007C5F5A" w:rsidR="00493D0A">
        <w:rPr>
          <w:rFonts w:ascii="Arial" w:hAnsi="Arial" w:cs="Arial"/>
          <w:color w:val="1F1A17"/>
        </w:rPr>
        <w:t>Türkiye’de yurt</w:t>
      </w:r>
      <w:r w:rsidRPr="007C5F5A">
        <w:rPr>
          <w:rFonts w:ascii="Arial" w:hAnsi="Arial" w:cs="Arial"/>
          <w:color w:val="1F1A17"/>
        </w:rPr>
        <w:t xml:space="preserve"> içi ve yurt dışı piyasalarda satış yapabilmek için üretim tesisleri kurmaya karar vermiştir. Üretim </w:t>
      </w:r>
      <w:r w:rsidRPr="007C5F5A" w:rsidR="00493D0A">
        <w:rPr>
          <w:rFonts w:ascii="Arial" w:hAnsi="Arial" w:cs="Arial"/>
          <w:color w:val="1F1A17"/>
        </w:rPr>
        <w:t>artışı ihracat</w:t>
      </w:r>
      <w:r w:rsidRPr="007C5F5A">
        <w:rPr>
          <w:rFonts w:ascii="Arial" w:hAnsi="Arial" w:cs="Arial"/>
          <w:color w:val="1F1A17"/>
        </w:rPr>
        <w:t xml:space="preserve"> temeli olmuştur.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60" w:header="708" w:footer="708" w:gutter="0"/>
          <w:cols w:space="708" w:equalWidth="0">
            <w:col w:w="794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27"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6672" behindDoc="1" locked="0" layoutInCell="0" allowOverlap="1">
            <wp:simplePos x="0" y="0"/>
            <wp:positionH relativeFrom="page">
              <wp:posOffset>0</wp:posOffset>
            </wp:positionH>
            <wp:positionV relativeFrom="page">
              <wp:posOffset>384175</wp:posOffset>
            </wp:positionV>
            <wp:extent cx="7880350" cy="9890125"/>
            <wp:effectExtent l="0" t="0" r="0" b="0"/>
            <wp:wrapNone/>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40779" name="Picture 152"/>
                    <pic:cNvPicPr>
                      <a:picLocks noChangeAspect="1" noChangeArrowheads="1"/>
                    </pic:cNvPicPr>
                  </pic:nvPicPr>
                  <pic:blipFill>
                    <a:blip xmlns:r="http://schemas.openxmlformats.org/officeDocument/2006/relationships" r:embed="rId1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0125"/>
                    </a:xfrm>
                    <a:prstGeom prst="rect">
                      <a:avLst/>
                    </a:prstGeom>
                    <a:noFill/>
                  </pic:spPr>
                </pic:pic>
              </a:graphicData>
            </a:graphic>
            <wp14:sizeRelH relativeFrom="page">
              <wp14:pctWidth>0</wp14:pctWidth>
            </wp14:sizeRelH>
            <wp14:sizeRelV relativeFrom="page">
              <wp14:pctHeight>0</wp14:pctHeight>
            </wp14:sizeRelV>
          </wp:anchor>
        </w:drawing>
      </w:r>
      <w:r w:rsidRPr="007C5F5A">
        <w:rPr>
          <w:rFonts w:ascii="Arial" w:hAnsi="Arial" w:cs="Arial"/>
          <w:b/>
          <w:bCs/>
          <w:color w:val="E87817"/>
          <w:sz w:val="21"/>
          <w:szCs w:val="21"/>
        </w:rPr>
        <w:t xml:space="preserve">Türk Otomobil Endüstrisinin Gelişim Zaman Çizelgesi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2360" w:bottom="320" w:left="3380" w:header="708" w:footer="708" w:gutter="0"/>
          <w:cols w:space="708" w:equalWidth="0">
            <w:col w:w="6680"/>
          </w:cols>
          <w:noEndnote/>
        </w:sectPr>
      </w:pPr>
    </w:p>
    <w:p w:rsidR="00A45A05" w:rsidRPr="007C5F5A" w:rsidP="00A45A05">
      <w:pPr>
        <w:widowControl w:val="0"/>
        <w:autoSpaceDE w:val="0"/>
        <w:autoSpaceDN w:val="0"/>
        <w:adjustRightInd w:val="0"/>
        <w:spacing w:after="0" w:line="386" w:lineRule="exact"/>
        <w:rPr>
          <w:rFonts w:ascii="Times New Roman" w:hAnsi="Times New Roman"/>
          <w:szCs w:val="24"/>
        </w:rPr>
      </w:pPr>
    </w:p>
    <w:tbl>
      <w:tblPr>
        <w:tblW w:w="0" w:type="auto"/>
        <w:tblLayout w:type="fixed"/>
        <w:tblCellMar>
          <w:left w:w="0" w:type="dxa"/>
          <w:right w:w="0" w:type="dxa"/>
        </w:tblCellMar>
        <w:tblLook w:val="0000"/>
      </w:tblPr>
      <w:tblGrid>
        <w:gridCol w:w="1260"/>
        <w:gridCol w:w="40"/>
        <w:gridCol w:w="1260"/>
      </w:tblGrid>
      <w:tr w:rsidTr="00BE30FE">
        <w:tblPrEx>
          <w:tblW w:w="0" w:type="auto"/>
          <w:tblLayout w:type="fixed"/>
          <w:tblCellMar>
            <w:left w:w="0" w:type="dxa"/>
            <w:right w:w="0" w:type="dxa"/>
          </w:tblCellMar>
          <w:tblLook w:val="0000"/>
        </w:tblPrEx>
        <w:trPr>
          <w:trHeight w:val="192"/>
        </w:trPr>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8"/>
                <w:szCs w:val="24"/>
              </w:rPr>
            </w:pPr>
            <w:r w:rsidRPr="007C5F5A">
              <w:rPr>
                <w:rFonts w:ascii="Arial" w:hAnsi="Arial" w:cs="Arial"/>
                <w:b/>
                <w:bCs/>
                <w:color w:val="FFFFFF"/>
                <w:sz w:val="18"/>
                <w:szCs w:val="16"/>
              </w:rPr>
              <w:t>1960-1970</w:t>
            </w:r>
          </w:p>
        </w:tc>
        <w:tc>
          <w:tcPr>
            <w:tcW w:w="130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80"/>
              <w:jc w:val="right"/>
              <w:rPr>
                <w:rFonts w:ascii="Times New Roman" w:hAnsi="Times New Roman"/>
                <w:sz w:val="28"/>
                <w:szCs w:val="24"/>
              </w:rPr>
            </w:pPr>
            <w:r w:rsidRPr="007C5F5A">
              <w:rPr>
                <w:rFonts w:ascii="Arial" w:hAnsi="Arial" w:cs="Arial"/>
                <w:b/>
                <w:bCs/>
                <w:color w:val="FFFFFF"/>
                <w:sz w:val="18"/>
                <w:szCs w:val="16"/>
              </w:rPr>
              <w:t>1971-1980</w:t>
            </w:r>
          </w:p>
        </w:tc>
      </w:tr>
      <w:tr w:rsidTr="00BE30FE">
        <w:tblPrEx>
          <w:tblW w:w="0" w:type="auto"/>
          <w:tblLayout w:type="fixed"/>
          <w:tblCellMar>
            <w:left w:w="0" w:type="dxa"/>
            <w:right w:w="0" w:type="dxa"/>
          </w:tblCellMar>
          <w:tblLook w:val="0000"/>
        </w:tblPrEx>
        <w:trPr>
          <w:trHeight w:val="142"/>
        </w:trPr>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r>
      <w:tr w:rsidTr="00BE30FE">
        <w:tblPrEx>
          <w:tblW w:w="0" w:type="auto"/>
          <w:tblLayout w:type="fixed"/>
          <w:tblCellMar>
            <w:left w:w="0" w:type="dxa"/>
            <w:right w:w="0" w:type="dxa"/>
          </w:tblCellMar>
          <w:tblLook w:val="0000"/>
        </w:tblPrEx>
        <w:trPr>
          <w:trHeight w:val="211"/>
        </w:trPr>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jc w:val="center"/>
              <w:rPr>
                <w:rFonts w:ascii="Times New Roman" w:hAnsi="Times New Roman"/>
                <w:sz w:val="28"/>
                <w:szCs w:val="24"/>
              </w:rPr>
            </w:pPr>
            <w:r w:rsidRPr="007C5F5A">
              <w:rPr>
                <w:rFonts w:ascii="Arial" w:hAnsi="Arial" w:cs="Arial"/>
                <w:color w:val="FFFFFF"/>
                <w:w w:val="80"/>
                <w:sz w:val="18"/>
                <w:szCs w:val="16"/>
              </w:rPr>
              <w:t xml:space="preserve">Belirli Kapasiteye </w:t>
            </w:r>
            <w:r w:rsidRPr="007C5F5A" w:rsidR="00493D0A">
              <w:rPr>
                <w:rFonts w:ascii="Arial" w:hAnsi="Arial" w:cs="Arial"/>
                <w:color w:val="FFFFFF"/>
                <w:w w:val="80"/>
                <w:sz w:val="18"/>
                <w:szCs w:val="16"/>
              </w:rPr>
              <w:t>Ulaşmış Montaj</w:t>
            </w:r>
            <w:r w:rsidRPr="007C5F5A">
              <w:rPr>
                <w:rFonts w:ascii="Arial" w:hAnsi="Arial" w:cs="Arial"/>
                <w:color w:val="FFFFFF"/>
                <w:w w:val="80"/>
                <w:sz w:val="18"/>
                <w:szCs w:val="16"/>
              </w:rPr>
              <w:t xml:space="preserve"> Tesisleri</w:t>
            </w:r>
          </w:p>
        </w:tc>
        <w:tc>
          <w:tcPr>
            <w:tcW w:w="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18"/>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jc w:val="center"/>
              <w:rPr>
                <w:rFonts w:ascii="Times New Roman" w:hAnsi="Times New Roman"/>
                <w:sz w:val="28"/>
                <w:szCs w:val="24"/>
              </w:rPr>
            </w:pPr>
            <w:r w:rsidRPr="007C5F5A">
              <w:rPr>
                <w:rFonts w:ascii="Arial" w:hAnsi="Arial" w:cs="Arial"/>
                <w:color w:val="FFFFFF"/>
                <w:w w:val="82"/>
                <w:sz w:val="18"/>
                <w:szCs w:val="16"/>
              </w:rPr>
              <w:t>Otomobil Yedek Parçaları Endüstrisinin Gelişimi</w:t>
            </w:r>
          </w:p>
        </w:tc>
      </w:tr>
      <w:tr w:rsidTr="00BE30FE">
        <w:tblPrEx>
          <w:tblW w:w="0" w:type="auto"/>
          <w:tblLayout w:type="fixed"/>
          <w:tblCellMar>
            <w:left w:w="0" w:type="dxa"/>
            <w:right w:w="0" w:type="dxa"/>
          </w:tblCellMar>
          <w:tblLook w:val="0000"/>
        </w:tblPrEx>
        <w:trPr>
          <w:trHeight w:val="151"/>
        </w:trPr>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151" w:lineRule="exact"/>
              <w:rPr>
                <w:rFonts w:ascii="Times New Roman" w:hAnsi="Times New Roman"/>
                <w:sz w:val="28"/>
                <w:szCs w:val="24"/>
              </w:rPr>
            </w:pPr>
          </w:p>
        </w:tc>
        <w:tc>
          <w:tcPr>
            <w:tcW w:w="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3"/>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151" w:lineRule="exact"/>
              <w:rPr>
                <w:rFonts w:ascii="Times New Roman" w:hAnsi="Times New Roman"/>
                <w:sz w:val="28"/>
                <w:szCs w:val="24"/>
              </w:rPr>
            </w:pPr>
          </w:p>
        </w:tc>
      </w:tr>
      <w:tr w:rsidTr="00BE30FE">
        <w:tblPrEx>
          <w:tblW w:w="0" w:type="auto"/>
          <w:tblLayout w:type="fixed"/>
          <w:tblCellMar>
            <w:left w:w="0" w:type="dxa"/>
            <w:right w:w="0" w:type="dxa"/>
          </w:tblCellMar>
          <w:tblLook w:val="0000"/>
        </w:tblPrEx>
        <w:trPr>
          <w:trHeight w:val="192"/>
        </w:trPr>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8"/>
                <w:szCs w:val="24"/>
              </w:rPr>
            </w:pPr>
          </w:p>
        </w:tc>
        <w:tc>
          <w:tcPr>
            <w:tcW w:w="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6"/>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jc w:val="center"/>
              <w:rPr>
                <w:rFonts w:ascii="Times New Roman" w:hAnsi="Times New Roman"/>
                <w:sz w:val="28"/>
                <w:szCs w:val="24"/>
              </w:rPr>
            </w:pPr>
          </w:p>
        </w:tc>
      </w:tr>
      <w:tr w:rsidTr="00BE30FE">
        <w:tblPrEx>
          <w:tblW w:w="0" w:type="auto"/>
          <w:tblLayout w:type="fixed"/>
          <w:tblCellMar>
            <w:left w:w="0" w:type="dxa"/>
            <w:right w:w="0" w:type="dxa"/>
          </w:tblCellMar>
          <w:tblLook w:val="0000"/>
        </w:tblPrEx>
        <w:trPr>
          <w:trHeight w:val="84"/>
        </w:trPr>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r>
    </w:tbl>
    <w:p w:rsidR="00A45A05" w:rsidRPr="007C5F5A" w:rsidP="00A45A05">
      <w:pPr>
        <w:widowControl w:val="0"/>
        <w:autoSpaceDE w:val="0"/>
        <w:autoSpaceDN w:val="0"/>
        <w:adjustRightInd w:val="0"/>
        <w:spacing w:after="0" w:line="141" w:lineRule="exact"/>
        <w:rPr>
          <w:rFonts w:ascii="Times New Roman" w:hAnsi="Times New Roman"/>
          <w:sz w:val="28"/>
          <w:szCs w:val="24"/>
        </w:rPr>
      </w:pPr>
    </w:p>
    <w:p w:rsidR="00A45A05" w:rsidRPr="007C5F5A" w:rsidP="00A45A05">
      <w:pPr>
        <w:widowControl w:val="0"/>
        <w:autoSpaceDE w:val="0"/>
        <w:autoSpaceDN w:val="0"/>
        <w:adjustRightInd w:val="0"/>
        <w:spacing w:after="0" w:line="240" w:lineRule="auto"/>
        <w:ind w:left="180"/>
        <w:rPr>
          <w:rFonts w:ascii="Times New Roman" w:hAnsi="Times New Roman"/>
          <w:sz w:val="28"/>
          <w:szCs w:val="24"/>
        </w:rPr>
      </w:pPr>
      <w:r w:rsidRPr="007C5F5A">
        <w:rPr>
          <w:rFonts w:ascii="Arial" w:hAnsi="Arial" w:cs="Arial"/>
          <w:color w:val="FFFFFF"/>
          <w:sz w:val="16"/>
          <w:szCs w:val="14"/>
        </w:rPr>
        <w:t>Korumalı Piyasa-</w:t>
      </w:r>
      <w:r w:rsidRPr="007C5F5A" w:rsidR="00493D0A">
        <w:rPr>
          <w:rFonts w:ascii="Arial" w:hAnsi="Arial" w:cs="Arial"/>
          <w:color w:val="FFFFFF"/>
          <w:sz w:val="16"/>
          <w:szCs w:val="14"/>
        </w:rPr>
        <w:t>İthalat ikamesi</w:t>
      </w:r>
    </w:p>
    <w:p w:rsidR="00A45A05" w:rsidRPr="007C5F5A" w:rsidP="00A45A05">
      <w:pPr>
        <w:widowControl w:val="0"/>
        <w:autoSpaceDE w:val="0"/>
        <w:autoSpaceDN w:val="0"/>
        <w:adjustRightInd w:val="0"/>
        <w:spacing w:after="0" w:line="386" w:lineRule="exact"/>
        <w:rPr>
          <w:rFonts w:ascii="Times New Roman" w:hAnsi="Times New Roman"/>
          <w:sz w:val="28"/>
          <w:szCs w:val="24"/>
        </w:rPr>
      </w:pPr>
      <w:r w:rsidRPr="007C5F5A">
        <w:rPr>
          <w:rFonts w:ascii="Times New Roman" w:hAnsi="Times New Roman"/>
          <w:sz w:val="28"/>
          <w:szCs w:val="24"/>
        </w:rPr>
        <w:br w:type="column"/>
      </w:r>
    </w:p>
    <w:p w:rsidR="00A45A05" w:rsidRPr="007C5F5A" w:rsidP="00A45A05">
      <w:pPr>
        <w:widowControl w:val="0"/>
        <w:tabs>
          <w:tab w:val="left" w:pos="1400"/>
        </w:tabs>
        <w:autoSpaceDE w:val="0"/>
        <w:autoSpaceDN w:val="0"/>
        <w:adjustRightInd w:val="0"/>
        <w:spacing w:after="0" w:line="240" w:lineRule="auto"/>
        <w:ind w:left="80"/>
        <w:rPr>
          <w:rFonts w:ascii="Times New Roman" w:hAnsi="Times New Roman"/>
          <w:sz w:val="28"/>
          <w:szCs w:val="24"/>
        </w:rPr>
      </w:pPr>
      <w:r w:rsidRPr="007C5F5A">
        <w:rPr>
          <w:rFonts w:ascii="Arial" w:hAnsi="Arial" w:cs="Arial"/>
          <w:b/>
          <w:bCs/>
          <w:color w:val="FFFFFF"/>
          <w:sz w:val="18"/>
          <w:szCs w:val="16"/>
        </w:rPr>
        <w:t>1981-1990</w:t>
      </w:r>
      <w:r w:rsidRPr="007C5F5A">
        <w:rPr>
          <w:rFonts w:ascii="Times New Roman" w:hAnsi="Times New Roman"/>
          <w:sz w:val="28"/>
          <w:szCs w:val="24"/>
        </w:rPr>
        <w:tab/>
      </w:r>
      <w:r w:rsidRPr="007C5F5A">
        <w:rPr>
          <w:rFonts w:ascii="Arial" w:hAnsi="Arial" w:cs="Arial"/>
          <w:b/>
          <w:bCs/>
          <w:color w:val="FFFFFF"/>
          <w:sz w:val="16"/>
          <w:szCs w:val="15"/>
        </w:rPr>
        <w:t>1991-1995</w:t>
      </w:r>
    </w:p>
    <w:p w:rsidR="00A45A05" w:rsidRPr="007C5F5A" w:rsidP="00A45A05">
      <w:pPr>
        <w:widowControl w:val="0"/>
        <w:autoSpaceDE w:val="0"/>
        <w:autoSpaceDN w:val="0"/>
        <w:adjustRightInd w:val="0"/>
        <w:spacing w:after="0" w:line="200" w:lineRule="exact"/>
        <w:rPr>
          <w:rFonts w:ascii="Times New Roman" w:hAnsi="Times New Roman"/>
          <w:sz w:val="28"/>
          <w:szCs w:val="24"/>
        </w:rPr>
      </w:pPr>
    </w:p>
    <w:p w:rsidR="00A45A05" w:rsidRPr="007C5F5A" w:rsidP="00A45A05">
      <w:pPr>
        <w:widowControl w:val="0"/>
        <w:autoSpaceDE w:val="0"/>
        <w:autoSpaceDN w:val="0"/>
        <w:adjustRightInd w:val="0"/>
        <w:spacing w:after="0" w:line="240" w:lineRule="auto"/>
        <w:rPr>
          <w:rFonts w:ascii="Times New Roman" w:hAnsi="Times New Roman"/>
          <w:sz w:val="28"/>
          <w:szCs w:val="24"/>
        </w:rPr>
      </w:pPr>
      <w:r w:rsidRPr="007C5F5A">
        <w:rPr>
          <w:rFonts w:ascii="Arial" w:hAnsi="Arial" w:cs="Arial"/>
          <w:color w:val="FFFFFF"/>
          <w:sz w:val="16"/>
          <w:szCs w:val="14"/>
        </w:rPr>
        <w:t xml:space="preserve">Otomobil Yedek Parçaları ihracat endüstrisi başlangıcı </w:t>
      </w:r>
    </w:p>
    <w:p w:rsidR="00A45A05" w:rsidRPr="007C5F5A" w:rsidP="00A45A05">
      <w:pPr>
        <w:widowControl w:val="0"/>
        <w:autoSpaceDE w:val="0"/>
        <w:autoSpaceDN w:val="0"/>
        <w:adjustRightInd w:val="0"/>
        <w:spacing w:after="0" w:line="170" w:lineRule="exact"/>
        <w:rPr>
          <w:rFonts w:ascii="Times New Roman" w:hAnsi="Times New Roman"/>
          <w:sz w:val="28"/>
          <w:szCs w:val="24"/>
        </w:rPr>
      </w:pPr>
    </w:p>
    <w:p w:rsidR="00465A0B" w:rsidP="00A45A05">
      <w:pPr>
        <w:widowControl w:val="0"/>
        <w:autoSpaceDE w:val="0"/>
        <w:autoSpaceDN w:val="0"/>
        <w:adjustRightInd w:val="0"/>
        <w:spacing w:after="0" w:line="240" w:lineRule="auto"/>
        <w:ind w:left="100"/>
        <w:rPr>
          <w:rFonts w:ascii="Arial" w:hAnsi="Arial" w:cs="Arial"/>
          <w:color w:val="FFFFFF"/>
          <w:sz w:val="16"/>
          <w:szCs w:val="14"/>
        </w:rPr>
      </w:pPr>
      <w:r w:rsidRPr="007C5F5A">
        <w:rPr>
          <w:rFonts w:ascii="Arial" w:hAnsi="Arial" w:cs="Arial"/>
          <w:color w:val="FFFFFF"/>
          <w:sz w:val="16"/>
          <w:szCs w:val="14"/>
        </w:rPr>
        <w:t xml:space="preserve">Geçiş Dönemi İhracat </w:t>
      </w:r>
    </w:p>
    <w:p w:rsidR="00465A0B" w:rsidP="00A45A05">
      <w:pPr>
        <w:widowControl w:val="0"/>
        <w:autoSpaceDE w:val="0"/>
        <w:autoSpaceDN w:val="0"/>
        <w:adjustRightInd w:val="0"/>
        <w:spacing w:after="0" w:line="240" w:lineRule="auto"/>
        <w:ind w:left="100"/>
        <w:rPr>
          <w:rFonts w:ascii="Arial" w:hAnsi="Arial" w:cs="Arial"/>
          <w:color w:val="FFFFFF"/>
          <w:sz w:val="16"/>
          <w:szCs w:val="14"/>
        </w:rPr>
      </w:pPr>
    </w:p>
    <w:p w:rsidR="00A45A05" w:rsidRPr="007C5F5A" w:rsidP="00A45A05">
      <w:pPr>
        <w:widowControl w:val="0"/>
        <w:autoSpaceDE w:val="0"/>
        <w:autoSpaceDN w:val="0"/>
        <w:adjustRightInd w:val="0"/>
        <w:spacing w:after="0" w:line="240" w:lineRule="auto"/>
        <w:ind w:left="100"/>
        <w:rPr>
          <w:rFonts w:ascii="Times New Roman" w:hAnsi="Times New Roman"/>
          <w:sz w:val="28"/>
          <w:szCs w:val="24"/>
        </w:rPr>
      </w:pPr>
      <w:r w:rsidRPr="007C5F5A">
        <w:rPr>
          <w:rFonts w:ascii="Arial" w:hAnsi="Arial" w:cs="Arial"/>
          <w:color w:val="FFFFFF"/>
          <w:sz w:val="16"/>
          <w:szCs w:val="14"/>
        </w:rPr>
        <w:t xml:space="preserve">kaynaklı Üretim </w:t>
      </w:r>
    </w:p>
    <w:p w:rsidR="00A45A05" w:rsidRPr="007C5F5A" w:rsidP="00A45A05">
      <w:pPr>
        <w:widowControl w:val="0"/>
        <w:autoSpaceDE w:val="0"/>
        <w:autoSpaceDN w:val="0"/>
        <w:adjustRightInd w:val="0"/>
        <w:spacing w:after="0" w:line="386" w:lineRule="exact"/>
        <w:rPr>
          <w:rFonts w:ascii="Times New Roman" w:hAnsi="Times New Roman"/>
          <w:sz w:val="28"/>
          <w:szCs w:val="24"/>
        </w:rPr>
      </w:pPr>
      <w:r w:rsidRPr="007C5F5A">
        <w:rPr>
          <w:rFonts w:ascii="Times New Roman" w:hAnsi="Times New Roman"/>
          <w:sz w:val="28"/>
          <w:szCs w:val="24"/>
        </w:rPr>
        <w:br w:type="column"/>
      </w:r>
    </w:p>
    <w:p w:rsidR="00A45A05" w:rsidRPr="007C5F5A" w:rsidP="00A45A05">
      <w:pPr>
        <w:widowControl w:val="0"/>
        <w:autoSpaceDE w:val="0"/>
        <w:autoSpaceDN w:val="0"/>
        <w:adjustRightInd w:val="0"/>
        <w:spacing w:after="0" w:line="1" w:lineRule="exact"/>
        <w:rPr>
          <w:rFonts w:ascii="Times New Roman" w:hAnsi="Times New Roman"/>
          <w:sz w:val="4"/>
          <w:szCs w:val="2"/>
        </w:rPr>
      </w:pPr>
    </w:p>
    <w:tbl>
      <w:tblPr>
        <w:tblW w:w="0" w:type="auto"/>
        <w:tblLayout w:type="fixed"/>
        <w:tblCellMar>
          <w:left w:w="0" w:type="dxa"/>
          <w:right w:w="0" w:type="dxa"/>
        </w:tblCellMar>
        <w:tblLook w:val="0000"/>
      </w:tblPr>
      <w:tblGrid>
        <w:gridCol w:w="1280"/>
        <w:gridCol w:w="60"/>
        <w:gridCol w:w="1260"/>
        <w:gridCol w:w="30"/>
      </w:tblGrid>
      <w:tr w:rsidTr="00BE30FE">
        <w:tblPrEx>
          <w:tblW w:w="0" w:type="auto"/>
          <w:tblLayout w:type="fixed"/>
          <w:tblCellMar>
            <w:left w:w="0" w:type="dxa"/>
            <w:right w:w="0" w:type="dxa"/>
          </w:tblCellMar>
          <w:tblLook w:val="0000"/>
        </w:tblPrEx>
        <w:trPr>
          <w:trHeight w:val="192"/>
        </w:trPr>
        <w:tc>
          <w:tcPr>
            <w:tcW w:w="12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79"/>
              <w:jc w:val="right"/>
              <w:rPr>
                <w:rFonts w:ascii="Times New Roman" w:hAnsi="Times New Roman"/>
                <w:sz w:val="28"/>
                <w:szCs w:val="24"/>
              </w:rPr>
            </w:pPr>
            <w:r w:rsidRPr="007C5F5A">
              <w:rPr>
                <w:rFonts w:ascii="Arial" w:hAnsi="Arial" w:cs="Arial"/>
                <w:b/>
                <w:bCs/>
                <w:color w:val="FFFFFF"/>
                <w:sz w:val="18"/>
                <w:szCs w:val="16"/>
              </w:rPr>
              <w:t>1996-2004</w:t>
            </w:r>
          </w:p>
        </w:tc>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20"/>
              <w:rPr>
                <w:rFonts w:ascii="Times New Roman" w:hAnsi="Times New Roman"/>
                <w:sz w:val="28"/>
                <w:szCs w:val="24"/>
              </w:rPr>
            </w:pPr>
            <w:r w:rsidRPr="007C5F5A">
              <w:rPr>
                <w:rFonts w:ascii="Arial" w:hAnsi="Arial" w:cs="Arial"/>
                <w:b/>
                <w:bCs/>
                <w:color w:val="FFFFFF"/>
                <w:sz w:val="18"/>
                <w:szCs w:val="16"/>
              </w:rPr>
              <w:t>2005-2015</w:t>
            </w: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143"/>
        </w:trPr>
        <w:tc>
          <w:tcPr>
            <w:tcW w:w="12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146"/>
        </w:trPr>
        <w:tc>
          <w:tcPr>
            <w:tcW w:w="1280" w:type="dxa"/>
            <w:tcBorders>
              <w:top w:val="nil"/>
              <w:left w:val="single" w:sz="8" w:space="0" w:color="E87817"/>
              <w:bottom w:val="nil"/>
              <w:right w:val="single" w:sz="8" w:space="0" w:color="E87817"/>
            </w:tcBorders>
            <w:shd w:val="clear" w:color="auto" w:fill="E87817"/>
            <w:vAlign w:val="bottom"/>
          </w:tcPr>
          <w:p w:rsidR="00465A0B" w:rsidP="00BE30FE">
            <w:pPr>
              <w:widowControl w:val="0"/>
              <w:autoSpaceDE w:val="0"/>
              <w:autoSpaceDN w:val="0"/>
              <w:adjustRightInd w:val="0"/>
              <w:spacing w:after="0" w:line="146" w:lineRule="exact"/>
              <w:jc w:val="center"/>
              <w:rPr>
                <w:rFonts w:ascii="Arial" w:hAnsi="Arial" w:cs="Arial"/>
                <w:color w:val="FFFFFF"/>
                <w:w w:val="82"/>
                <w:sz w:val="18"/>
                <w:szCs w:val="16"/>
              </w:rPr>
            </w:pPr>
          </w:p>
          <w:p w:rsidR="00465A0B" w:rsidP="00BE30FE">
            <w:pPr>
              <w:widowControl w:val="0"/>
              <w:autoSpaceDE w:val="0"/>
              <w:autoSpaceDN w:val="0"/>
              <w:adjustRightInd w:val="0"/>
              <w:spacing w:after="0" w:line="146" w:lineRule="exact"/>
              <w:jc w:val="center"/>
              <w:rPr>
                <w:rFonts w:ascii="Arial" w:hAnsi="Arial" w:cs="Arial"/>
                <w:color w:val="FFFFFF"/>
                <w:w w:val="82"/>
                <w:sz w:val="18"/>
                <w:szCs w:val="16"/>
              </w:rPr>
            </w:pPr>
          </w:p>
          <w:p w:rsidR="00A45A05" w:rsidRPr="007C5F5A" w:rsidP="00BE30FE">
            <w:pPr>
              <w:widowControl w:val="0"/>
              <w:autoSpaceDE w:val="0"/>
              <w:autoSpaceDN w:val="0"/>
              <w:adjustRightInd w:val="0"/>
              <w:spacing w:after="0" w:line="146" w:lineRule="exact"/>
              <w:jc w:val="center"/>
              <w:rPr>
                <w:rFonts w:ascii="Times New Roman" w:hAnsi="Times New Roman"/>
                <w:sz w:val="28"/>
                <w:szCs w:val="24"/>
              </w:rPr>
            </w:pPr>
            <w:r w:rsidRPr="007C5F5A">
              <w:rPr>
                <w:rFonts w:ascii="Arial" w:hAnsi="Arial" w:cs="Arial"/>
                <w:color w:val="FFFFFF"/>
                <w:w w:val="82"/>
                <w:sz w:val="18"/>
                <w:szCs w:val="16"/>
              </w:rPr>
              <w:t>Global tam kapasiteli üretim tesisleri yarışı</w:t>
            </w: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1260" w:type="dxa"/>
            <w:vMerge w:val="restart"/>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jc w:val="center"/>
              <w:rPr>
                <w:rFonts w:ascii="Times New Roman" w:hAnsi="Times New Roman"/>
                <w:szCs w:val="24"/>
              </w:rPr>
            </w:pPr>
            <w:r w:rsidRPr="007C5F5A">
              <w:rPr>
                <w:rFonts w:ascii="Arial" w:hAnsi="Arial" w:cs="Arial"/>
                <w:color w:val="FFFFFF"/>
                <w:w w:val="73"/>
                <w:szCs w:val="16"/>
              </w:rPr>
              <w:t xml:space="preserve"> R&amp;D.</w:t>
            </w: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74"/>
        </w:trPr>
        <w:tc>
          <w:tcPr>
            <w:tcW w:w="1280" w:type="dxa"/>
            <w:vMerge w:val="restart"/>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144" w:lineRule="exact"/>
              <w:rPr>
                <w:rFonts w:ascii="Times New Roman" w:hAnsi="Times New Roman"/>
                <w:sz w:val="28"/>
                <w:szCs w:val="24"/>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1260" w:type="dxa"/>
            <w:vMerge/>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Cs w:val="6"/>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70"/>
        </w:trPr>
        <w:tc>
          <w:tcPr>
            <w:tcW w:w="1280" w:type="dxa"/>
            <w:vMerge/>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1260" w:type="dxa"/>
            <w:vMerge w:val="restart"/>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142" w:lineRule="exact"/>
              <w:jc w:val="center"/>
              <w:rPr>
                <w:rFonts w:ascii="Times New Roman" w:hAnsi="Times New Roman"/>
                <w:szCs w:val="24"/>
              </w:rPr>
            </w:pPr>
            <w:r w:rsidRPr="007C5F5A">
              <w:rPr>
                <w:rFonts w:ascii="Arial" w:hAnsi="Arial" w:cs="Arial"/>
                <w:color w:val="FFFFFF"/>
                <w:w w:val="70"/>
                <w:szCs w:val="16"/>
              </w:rPr>
              <w:t xml:space="preserve">Dizayn ve Teknoloji Yönetimi Gelişimi </w:t>
            </w: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72"/>
        </w:trPr>
        <w:tc>
          <w:tcPr>
            <w:tcW w:w="1280" w:type="dxa"/>
            <w:vMerge w:val="restart"/>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144" w:lineRule="exact"/>
              <w:rPr>
                <w:rFonts w:ascii="Times New Roman" w:hAnsi="Times New Roman"/>
                <w:sz w:val="28"/>
                <w:szCs w:val="24"/>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1260" w:type="dxa"/>
            <w:vMerge/>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Cs w:val="6"/>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72"/>
        </w:trPr>
        <w:tc>
          <w:tcPr>
            <w:tcW w:w="1280" w:type="dxa"/>
            <w:vMerge/>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6"/>
              </w:rPr>
            </w:pPr>
          </w:p>
        </w:tc>
        <w:tc>
          <w:tcPr>
            <w:tcW w:w="1260" w:type="dxa"/>
            <w:vMerge w:val="restart"/>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ind w:left="260"/>
              <w:rPr>
                <w:rFonts w:ascii="Times New Roman" w:hAnsi="Times New Roman"/>
                <w:szCs w:val="24"/>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120"/>
        </w:trPr>
        <w:tc>
          <w:tcPr>
            <w:tcW w:w="1280" w:type="dxa"/>
            <w:vMerge w:val="restart"/>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8"/>
                <w:szCs w:val="24"/>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0"/>
              </w:rPr>
            </w:pPr>
          </w:p>
        </w:tc>
        <w:tc>
          <w:tcPr>
            <w:tcW w:w="1260" w:type="dxa"/>
            <w:vMerge/>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0"/>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84"/>
        </w:trPr>
        <w:tc>
          <w:tcPr>
            <w:tcW w:w="1280" w:type="dxa"/>
            <w:vMerge/>
            <w:tcBorders>
              <w:top w:val="nil"/>
              <w:left w:val="single" w:sz="8" w:space="0" w:color="E87817"/>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60" w:type="dxa"/>
            <w:tcBorders>
              <w:top w:val="nil"/>
              <w:left w:val="nil"/>
              <w:bottom w:val="nil"/>
              <w:right w:val="single" w:sz="8" w:space="0" w:color="E87817"/>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1260" w:type="dxa"/>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83"/>
        </w:trPr>
        <w:tc>
          <w:tcPr>
            <w:tcW w:w="1280" w:type="dxa"/>
            <w:tcBorders>
              <w:top w:val="nil"/>
              <w:left w:val="nil"/>
              <w:bottom w:val="single" w:sz="8" w:space="0" w:color="1F1A17"/>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1260" w:type="dxa"/>
            <w:tcBorders>
              <w:top w:val="nil"/>
              <w:left w:val="nil"/>
              <w:bottom w:val="single" w:sz="8" w:space="0" w:color="1F1A17"/>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465A0B">
        <w:tblPrEx>
          <w:tblW w:w="0" w:type="auto"/>
          <w:tblLayout w:type="fixed"/>
          <w:tblCellMar>
            <w:left w:w="0" w:type="dxa"/>
            <w:right w:w="0" w:type="dxa"/>
          </w:tblCellMar>
          <w:tblLook w:val="0000"/>
        </w:tblPrEx>
        <w:trPr>
          <w:trHeight w:val="146"/>
        </w:trPr>
        <w:tc>
          <w:tcPr>
            <w:tcW w:w="1280" w:type="dxa"/>
            <w:tcBorders>
              <w:top w:val="nil"/>
              <w:left w:val="single" w:sz="8" w:space="0" w:color="1F1A17"/>
              <w:bottom w:val="nil"/>
              <w:right w:val="single" w:sz="8" w:space="0" w:color="1F1A17"/>
            </w:tcBorders>
            <w:shd w:val="clear" w:color="auto" w:fill="0A408A"/>
            <w:vAlign w:val="bottom"/>
          </w:tcPr>
          <w:p w:rsidR="00465A0B" w:rsidP="00465A0B">
            <w:pPr>
              <w:widowControl w:val="0"/>
              <w:autoSpaceDE w:val="0"/>
              <w:autoSpaceDN w:val="0"/>
              <w:adjustRightInd w:val="0"/>
              <w:spacing w:after="0" w:line="146" w:lineRule="exact"/>
              <w:jc w:val="center"/>
              <w:rPr>
                <w:rFonts w:ascii="Arial" w:hAnsi="Arial" w:cs="Arial"/>
                <w:color w:val="FFFFFF"/>
                <w:w w:val="82"/>
                <w:sz w:val="18"/>
                <w:szCs w:val="16"/>
              </w:rPr>
            </w:pPr>
          </w:p>
          <w:p w:rsidR="00A45A05" w:rsidRPr="007C5F5A" w:rsidP="00465A0B">
            <w:pPr>
              <w:widowControl w:val="0"/>
              <w:autoSpaceDE w:val="0"/>
              <w:autoSpaceDN w:val="0"/>
              <w:adjustRightInd w:val="0"/>
              <w:spacing w:after="0" w:line="146" w:lineRule="exact"/>
              <w:jc w:val="center"/>
              <w:rPr>
                <w:rFonts w:ascii="Times New Roman" w:hAnsi="Times New Roman"/>
                <w:sz w:val="28"/>
                <w:szCs w:val="24"/>
              </w:rPr>
            </w:pPr>
            <w:r w:rsidRPr="007C5F5A">
              <w:rPr>
                <w:rFonts w:ascii="Arial" w:hAnsi="Arial" w:cs="Arial"/>
                <w:color w:val="FFFFFF"/>
                <w:w w:val="82"/>
                <w:sz w:val="18"/>
                <w:szCs w:val="16"/>
              </w:rPr>
              <w:t>Tam rekabetli serbest piyasa</w:t>
            </w:r>
          </w:p>
        </w:tc>
        <w:tc>
          <w:tcPr>
            <w:tcW w:w="60" w:type="dxa"/>
            <w:tcBorders>
              <w:top w:val="nil"/>
              <w:left w:val="nil"/>
              <w:bottom w:val="nil"/>
              <w:right w:val="single" w:sz="8" w:space="0" w:color="1F1A17"/>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2"/>
              </w:rPr>
            </w:pPr>
          </w:p>
        </w:tc>
        <w:tc>
          <w:tcPr>
            <w:tcW w:w="1260" w:type="dxa"/>
            <w:vMerge w:val="restart"/>
            <w:tcBorders>
              <w:top w:val="nil"/>
              <w:left w:val="nil"/>
              <w:bottom w:val="nil"/>
              <w:right w:val="single" w:sz="8" w:space="0" w:color="1F1A17"/>
            </w:tcBorders>
            <w:shd w:val="clear" w:color="auto" w:fill="0A408A"/>
            <w:vAlign w:val="bottom"/>
          </w:tcPr>
          <w:p w:rsidR="00A45A05" w:rsidRPr="007C5F5A" w:rsidP="00BE30FE">
            <w:pPr>
              <w:widowControl w:val="0"/>
              <w:autoSpaceDE w:val="0"/>
              <w:autoSpaceDN w:val="0"/>
              <w:adjustRightInd w:val="0"/>
              <w:spacing w:after="0" w:line="240" w:lineRule="auto"/>
              <w:ind w:left="260"/>
              <w:rPr>
                <w:rFonts w:ascii="Times New Roman" w:hAnsi="Times New Roman"/>
                <w:sz w:val="28"/>
                <w:szCs w:val="24"/>
              </w:rPr>
            </w:pPr>
            <w:r w:rsidRPr="007C5F5A">
              <w:rPr>
                <w:rFonts w:ascii="Arial" w:hAnsi="Arial" w:cs="Arial"/>
                <w:color w:val="FFFFFF"/>
                <w:sz w:val="18"/>
                <w:szCs w:val="16"/>
              </w:rPr>
              <w:t>Olanaklar</w:t>
            </w: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465A0B">
        <w:tblPrEx>
          <w:tblW w:w="0" w:type="auto"/>
          <w:tblLayout w:type="fixed"/>
          <w:tblCellMar>
            <w:left w:w="0" w:type="dxa"/>
            <w:right w:w="0" w:type="dxa"/>
          </w:tblCellMar>
          <w:tblLook w:val="0000"/>
        </w:tblPrEx>
        <w:trPr>
          <w:trHeight w:val="110"/>
        </w:trPr>
        <w:tc>
          <w:tcPr>
            <w:tcW w:w="1280" w:type="dxa"/>
            <w:vMerge w:val="restart"/>
            <w:tcBorders>
              <w:top w:val="nil"/>
              <w:left w:val="single" w:sz="8" w:space="0" w:color="1F1A17"/>
              <w:bottom w:val="nil"/>
              <w:right w:val="single" w:sz="8" w:space="0" w:color="1F1A17"/>
            </w:tcBorders>
            <w:shd w:val="clear" w:color="auto" w:fill="0A408A"/>
            <w:vAlign w:val="bottom"/>
          </w:tcPr>
          <w:p w:rsidR="00A45A05" w:rsidRPr="007C5F5A" w:rsidP="00465A0B">
            <w:pPr>
              <w:widowControl w:val="0"/>
              <w:autoSpaceDE w:val="0"/>
              <w:autoSpaceDN w:val="0"/>
              <w:adjustRightInd w:val="0"/>
              <w:spacing w:after="0" w:line="240" w:lineRule="auto"/>
              <w:jc w:val="center"/>
              <w:rPr>
                <w:rFonts w:ascii="Times New Roman" w:hAnsi="Times New Roman"/>
                <w:sz w:val="28"/>
                <w:szCs w:val="24"/>
              </w:rPr>
            </w:pPr>
          </w:p>
        </w:tc>
        <w:tc>
          <w:tcPr>
            <w:tcW w:w="60" w:type="dxa"/>
            <w:tcBorders>
              <w:top w:val="nil"/>
              <w:left w:val="nil"/>
              <w:bottom w:val="nil"/>
              <w:right w:val="single" w:sz="8" w:space="0" w:color="1F1A17"/>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9"/>
              </w:rPr>
            </w:pPr>
          </w:p>
        </w:tc>
        <w:tc>
          <w:tcPr>
            <w:tcW w:w="1260" w:type="dxa"/>
            <w:vMerge/>
            <w:tcBorders>
              <w:top w:val="nil"/>
              <w:left w:val="nil"/>
              <w:bottom w:val="nil"/>
              <w:right w:val="single" w:sz="8" w:space="0" w:color="1F1A17"/>
            </w:tcBorders>
            <w:shd w:val="clear" w:color="auto" w:fill="0A408A"/>
            <w:vAlign w:val="bottom"/>
          </w:tcPr>
          <w:p w:rsidR="00A45A05" w:rsidRPr="007C5F5A" w:rsidP="00BE30FE">
            <w:pPr>
              <w:widowControl w:val="0"/>
              <w:autoSpaceDE w:val="0"/>
              <w:autoSpaceDN w:val="0"/>
              <w:adjustRightInd w:val="0"/>
              <w:spacing w:after="0" w:line="240" w:lineRule="auto"/>
              <w:rPr>
                <w:rFonts w:ascii="Times New Roman" w:hAnsi="Times New Roman"/>
                <w:sz w:val="11"/>
                <w:szCs w:val="9"/>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r w:rsidTr="00BE30FE">
        <w:tblPrEx>
          <w:tblW w:w="0" w:type="auto"/>
          <w:tblLayout w:type="fixed"/>
          <w:tblCellMar>
            <w:left w:w="0" w:type="dxa"/>
            <w:right w:w="0" w:type="dxa"/>
          </w:tblCellMar>
          <w:tblLook w:val="0000"/>
        </w:tblPrEx>
        <w:trPr>
          <w:trHeight w:val="86"/>
        </w:trPr>
        <w:tc>
          <w:tcPr>
            <w:tcW w:w="1280" w:type="dxa"/>
            <w:vMerge/>
            <w:tcBorders>
              <w:top w:val="nil"/>
              <w:left w:val="single" w:sz="8" w:space="0" w:color="1F1A17"/>
              <w:bottom w:val="single" w:sz="8" w:space="0" w:color="1F1A17"/>
              <w:right w:val="single" w:sz="8" w:space="0" w:color="1F1A17"/>
            </w:tcBorders>
            <w:shd w:val="clear" w:color="auto" w:fill="0A408A"/>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60" w:type="dxa"/>
            <w:tcBorders>
              <w:top w:val="nil"/>
              <w:left w:val="nil"/>
              <w:bottom w:val="nil"/>
              <w:right w:val="single" w:sz="8" w:space="0" w:color="1F1A17"/>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1260" w:type="dxa"/>
            <w:tcBorders>
              <w:top w:val="nil"/>
              <w:left w:val="nil"/>
              <w:bottom w:val="single" w:sz="8" w:space="0" w:color="1F1A17"/>
              <w:right w:val="single" w:sz="8" w:space="0" w:color="1F1A17"/>
            </w:tcBorders>
            <w:shd w:val="clear" w:color="auto" w:fill="0A408A"/>
            <w:vAlign w:val="bottom"/>
          </w:tcPr>
          <w:p w:rsidR="00A45A05" w:rsidRPr="007C5F5A" w:rsidP="00BE30FE">
            <w:pPr>
              <w:widowControl w:val="0"/>
              <w:autoSpaceDE w:val="0"/>
              <w:autoSpaceDN w:val="0"/>
              <w:adjustRightInd w:val="0"/>
              <w:spacing w:after="0" w:line="240" w:lineRule="auto"/>
              <w:rPr>
                <w:rFonts w:ascii="Times New Roman" w:hAnsi="Times New Roman"/>
                <w:sz w:val="9"/>
                <w:szCs w:val="7"/>
              </w:rPr>
            </w:pPr>
          </w:p>
        </w:tc>
        <w:tc>
          <w:tcPr>
            <w:tcW w:w="3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2"/>
              </w:rPr>
            </w:pPr>
          </w:p>
        </w:tc>
      </w:tr>
    </w:tbl>
    <w:p w:rsidR="00A45A05" w:rsidRPr="007C5F5A" w:rsidP="00A45A05">
      <w:pPr>
        <w:widowControl w:val="0"/>
        <w:autoSpaceDE w:val="0"/>
        <w:autoSpaceDN w:val="0"/>
        <w:adjustRightInd w:val="0"/>
        <w:spacing w:after="0" w:line="240" w:lineRule="auto"/>
        <w:rPr>
          <w:rFonts w:ascii="Times New Roman" w:hAnsi="Times New Roman"/>
          <w:sz w:val="28"/>
          <w:szCs w:val="24"/>
        </w:rPr>
        <w:sectPr>
          <w:type w:val="continuous"/>
          <w:pgSz w:w="12420" w:h="16180"/>
          <w:pgMar w:top="1440" w:right="1200" w:bottom="320" w:left="3380" w:header="708" w:footer="708" w:gutter="0"/>
          <w:cols w:num="3" w:space="140" w:equalWidth="0">
            <w:col w:w="2560" w:space="300"/>
            <w:col w:w="2260" w:space="140"/>
            <w:col w:w="2580"/>
          </w:cols>
          <w:noEndnote/>
        </w:sectPr>
      </w:pPr>
    </w:p>
    <w:p w:rsidR="00A45A05" w:rsidRPr="007C5F5A" w:rsidP="00A45A05">
      <w:pPr>
        <w:widowControl w:val="0"/>
        <w:autoSpaceDE w:val="0"/>
        <w:autoSpaceDN w:val="0"/>
        <w:adjustRightInd w:val="0"/>
        <w:spacing w:after="0" w:line="155" w:lineRule="exact"/>
        <w:rPr>
          <w:rFonts w:ascii="Times New Roman" w:hAnsi="Times New Roman"/>
          <w:sz w:val="28"/>
          <w:szCs w:val="24"/>
        </w:rPr>
      </w:pPr>
    </w:p>
    <w:p w:rsidR="00A45A05" w:rsidRPr="007C5F5A" w:rsidP="00A45A05">
      <w:pPr>
        <w:widowControl w:val="0"/>
        <w:autoSpaceDE w:val="0"/>
        <w:autoSpaceDN w:val="0"/>
        <w:adjustRightInd w:val="0"/>
        <w:spacing w:after="0" w:line="240" w:lineRule="auto"/>
        <w:rPr>
          <w:rFonts w:ascii="Times New Roman" w:hAnsi="Times New Roman"/>
          <w:sz w:val="28"/>
          <w:szCs w:val="24"/>
        </w:rPr>
      </w:pPr>
      <w:r w:rsidRPr="007C5F5A">
        <w:rPr>
          <w:rFonts w:ascii="Arial" w:hAnsi="Arial" w:cs="Arial"/>
          <w:i/>
          <w:iCs/>
          <w:color w:val="1F1A17"/>
          <w:sz w:val="18"/>
          <w:szCs w:val="16"/>
        </w:rPr>
        <w:t xml:space="preserve">Kaynak: Otomobil Üreticileri Derneği </w:t>
      </w:r>
    </w:p>
    <w:p w:rsidR="00A45A05" w:rsidRPr="007C5F5A" w:rsidP="00A45A05">
      <w:pPr>
        <w:widowControl w:val="0"/>
        <w:autoSpaceDE w:val="0"/>
        <w:autoSpaceDN w:val="0"/>
        <w:adjustRightInd w:val="0"/>
        <w:spacing w:after="0" w:line="302"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9" w:lineRule="auto"/>
        <w:ind w:left="20"/>
        <w:jc w:val="both"/>
        <w:rPr>
          <w:rFonts w:ascii="Times New Roman" w:hAnsi="Times New Roman"/>
          <w:sz w:val="24"/>
          <w:szCs w:val="24"/>
        </w:rPr>
      </w:pPr>
      <w:r w:rsidRPr="007C5F5A">
        <w:rPr>
          <w:rFonts w:ascii="Arial" w:hAnsi="Arial" w:cs="Arial"/>
          <w:color w:val="1F1A17"/>
        </w:rPr>
        <w:t>Günümüzde,  dünyada üretilen her 1000 motorlu taşıttan 14 tanesi Türkiye de üretilmektedir. 2009 yılında, ülke İspanya ve Fransa’yı gerisinde bırakarak Avrupa’nın en büyük ticari taşıt üreticisi haline gelmiştir</w:t>
      </w:r>
    </w:p>
    <w:p w:rsidR="00A45A05" w:rsidRPr="007C5F5A" w:rsidP="00A45A05">
      <w:pPr>
        <w:widowControl w:val="0"/>
        <w:autoSpaceDE w:val="0"/>
        <w:autoSpaceDN w:val="0"/>
        <w:adjustRightInd w:val="0"/>
        <w:spacing w:after="0" w:line="246"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7" w:lineRule="auto"/>
        <w:ind w:left="20"/>
        <w:jc w:val="both"/>
        <w:rPr>
          <w:rFonts w:ascii="Times New Roman" w:hAnsi="Times New Roman"/>
          <w:sz w:val="24"/>
          <w:szCs w:val="24"/>
        </w:rPr>
      </w:pPr>
      <w:r w:rsidRPr="007C5F5A">
        <w:rPr>
          <w:rFonts w:ascii="Arial" w:hAnsi="Arial" w:cs="Arial"/>
          <w:color w:val="1F1A17"/>
        </w:rPr>
        <w:t xml:space="preserve">Bütün büyük yabancı otomobil </w:t>
      </w:r>
      <w:r w:rsidRPr="007C5F5A" w:rsidR="00493D0A">
        <w:rPr>
          <w:rFonts w:ascii="Arial" w:hAnsi="Arial" w:cs="Arial"/>
          <w:color w:val="1F1A17"/>
        </w:rPr>
        <w:t>şirketleri, Ford</w:t>
      </w:r>
      <w:r w:rsidRPr="007C5F5A">
        <w:rPr>
          <w:rFonts w:ascii="Arial" w:hAnsi="Arial" w:cs="Arial"/>
          <w:color w:val="1F1A17"/>
        </w:rPr>
        <w:t xml:space="preserve">, Toyota, Mercedes Benz, Hyundai, MAN, Renault ve </w:t>
      </w:r>
      <w:r w:rsidRPr="007C5F5A" w:rsidR="00493D0A">
        <w:rPr>
          <w:rFonts w:ascii="Arial" w:hAnsi="Arial" w:cs="Arial"/>
          <w:color w:val="1F1A17"/>
        </w:rPr>
        <w:t>Fiat dâhilTürkiye’de işletme</w:t>
      </w:r>
      <w:r w:rsidRPr="007C5F5A">
        <w:rPr>
          <w:rFonts w:ascii="Arial" w:hAnsi="Arial" w:cs="Arial"/>
          <w:color w:val="1F1A17"/>
        </w:rPr>
        <w:t xml:space="preserve"> merkezi </w:t>
      </w:r>
      <w:r w:rsidRPr="007C5F5A" w:rsidR="00493D0A">
        <w:rPr>
          <w:rFonts w:ascii="Arial" w:hAnsi="Arial" w:cs="Arial"/>
          <w:color w:val="1F1A17"/>
        </w:rPr>
        <w:t>kurmuşlardır. Türkiye’nin</w:t>
      </w:r>
      <w:r w:rsidRPr="007C5F5A">
        <w:rPr>
          <w:rFonts w:ascii="Arial" w:hAnsi="Arial" w:cs="Arial"/>
          <w:color w:val="1F1A17"/>
        </w:rPr>
        <w:t xml:space="preserve"> 15 büyük motorlu </w:t>
      </w:r>
      <w:r w:rsidRPr="007C5F5A" w:rsidR="00493D0A">
        <w:rPr>
          <w:rFonts w:ascii="Arial" w:hAnsi="Arial" w:cs="Arial"/>
          <w:color w:val="1F1A17"/>
        </w:rPr>
        <w:t>taşıt imalatçıfirması bulunmaktadır</w:t>
      </w:r>
      <w:r w:rsidRPr="007C5F5A">
        <w:rPr>
          <w:rFonts w:ascii="Arial" w:hAnsi="Arial" w:cs="Arial"/>
          <w:color w:val="1F1A17"/>
        </w:rPr>
        <w:t xml:space="preserve">. Sektördeki şirketlerin çoğu ya yabancılara ait ya da yabancı imalatçılarla </w:t>
      </w:r>
      <w:r w:rsidRPr="007C5F5A" w:rsidR="00493D0A">
        <w:rPr>
          <w:rFonts w:ascii="Arial" w:hAnsi="Arial" w:cs="Arial"/>
          <w:color w:val="1F1A17"/>
        </w:rPr>
        <w:t>ortak girişimlerdir</w:t>
      </w:r>
      <w:r w:rsidRPr="007C5F5A">
        <w:rPr>
          <w:rFonts w:ascii="Arial" w:hAnsi="Arial" w:cs="Arial"/>
          <w:color w:val="1F1A17"/>
        </w:rPr>
        <w:t xml:space="preserve">. Bazıları da yabancı üreticilerle yapılan lisans sözleşmeleri altında üretim yapmaktadır. </w:t>
      </w:r>
    </w:p>
    <w:p w:rsidR="00A45A05" w:rsidRPr="007C5F5A" w:rsidP="00A45A05">
      <w:pPr>
        <w:widowControl w:val="0"/>
        <w:autoSpaceDE w:val="0"/>
        <w:autoSpaceDN w:val="0"/>
        <w:adjustRightInd w:val="0"/>
        <w:spacing w:after="0" w:line="247"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7" w:lineRule="auto"/>
        <w:ind w:left="20"/>
        <w:jc w:val="both"/>
        <w:rPr>
          <w:rFonts w:ascii="Times New Roman" w:hAnsi="Times New Roman"/>
          <w:sz w:val="24"/>
          <w:szCs w:val="24"/>
        </w:rPr>
      </w:pPr>
      <w:r w:rsidRPr="007C5F5A">
        <w:rPr>
          <w:rFonts w:ascii="Arial" w:hAnsi="Arial" w:cs="Arial"/>
          <w:color w:val="1F1A17"/>
        </w:rPr>
        <w:t xml:space="preserve">Türkiye 2010 yılında </w:t>
      </w:r>
      <w:r w:rsidRPr="007C5F5A" w:rsidR="00493D0A">
        <w:rPr>
          <w:rFonts w:ascii="Arial" w:hAnsi="Arial" w:cs="Arial"/>
          <w:color w:val="1F1A17"/>
        </w:rPr>
        <w:t>gerçekleştirdiği 793</w:t>
      </w:r>
      <w:r w:rsidRPr="007C5F5A">
        <w:rPr>
          <w:rFonts w:ascii="Arial" w:hAnsi="Arial" w:cs="Arial"/>
          <w:color w:val="1F1A17"/>
        </w:rPr>
        <w:t xml:space="preserve">,172 motorlu taşıt satış kaydıyla bir önceki </w:t>
      </w:r>
      <w:r w:rsidRPr="007C5F5A" w:rsidR="00493D0A">
        <w:rPr>
          <w:rFonts w:ascii="Arial" w:hAnsi="Arial" w:cs="Arial"/>
          <w:color w:val="1F1A17"/>
        </w:rPr>
        <w:t>yıla göre</w:t>
      </w:r>
      <w:r w:rsidRPr="007C5F5A">
        <w:rPr>
          <w:rFonts w:ascii="Arial" w:hAnsi="Arial" w:cs="Arial"/>
          <w:color w:val="1F1A17"/>
        </w:rPr>
        <w:t xml:space="preserve"> satışlarında %38 artış yaşamıştır.  Bir </w:t>
      </w:r>
      <w:r w:rsidRPr="007C5F5A" w:rsidR="00493D0A">
        <w:rPr>
          <w:rFonts w:ascii="Arial" w:hAnsi="Arial" w:cs="Arial"/>
          <w:color w:val="1F1A17"/>
        </w:rPr>
        <w:t>önceki kayıt</w:t>
      </w:r>
      <w:r w:rsidRPr="007C5F5A">
        <w:rPr>
          <w:rFonts w:ascii="Arial" w:hAnsi="Arial" w:cs="Arial"/>
          <w:color w:val="1F1A17"/>
        </w:rPr>
        <w:t xml:space="preserve"> 2005 yılında,  763,163 birimin satışıyla gerçekleştirilmiştir</w:t>
      </w:r>
      <w:r w:rsidRPr="007C5F5A" w:rsidR="00493D0A">
        <w:rPr>
          <w:rFonts w:ascii="Arial" w:hAnsi="Arial" w:cs="Arial"/>
          <w:color w:val="1F1A17"/>
        </w:rPr>
        <w:t>.</w:t>
      </w:r>
      <w:r w:rsidRPr="007C5F5A">
        <w:rPr>
          <w:rFonts w:ascii="Arial" w:hAnsi="Arial" w:cs="Arial"/>
          <w:color w:val="1F1A17"/>
        </w:rPr>
        <w:t>2010 yılında Türkiye’de satılan motorlu taşıtların %59’u ithal edilmiştir</w:t>
      </w:r>
    </w:p>
    <w:p w:rsidR="00A45A05" w:rsidRPr="007C5F5A" w:rsidP="00A45A05">
      <w:pPr>
        <w:widowControl w:val="0"/>
        <w:overflowPunct w:val="0"/>
        <w:autoSpaceDE w:val="0"/>
        <w:autoSpaceDN w:val="0"/>
        <w:adjustRightInd w:val="0"/>
        <w:spacing w:after="0" w:line="294" w:lineRule="auto"/>
        <w:jc w:val="both"/>
        <w:rPr>
          <w:rFonts w:ascii="Times New Roman" w:hAnsi="Times New Roman"/>
          <w:sz w:val="24"/>
          <w:szCs w:val="24"/>
        </w:rPr>
      </w:pPr>
      <w:r w:rsidRPr="007C5F5A">
        <w:rPr>
          <w:rFonts w:ascii="Arial" w:hAnsi="Arial" w:cs="Arial"/>
          <w:color w:val="1F1A17"/>
        </w:rPr>
        <w:t xml:space="preserve">Yolcu taşıtlarına ek olarak,  çiftlik traktörleri, römorklar, pikap kamyonları, ağır- hafif yük kamyonları, yolcu otobüsleri, mini-midi </w:t>
      </w:r>
      <w:r w:rsidRPr="007C5F5A" w:rsidR="00493D0A">
        <w:rPr>
          <w:rFonts w:ascii="Arial" w:hAnsi="Arial" w:cs="Arial"/>
          <w:color w:val="1F1A17"/>
        </w:rPr>
        <w:t>otobüsler de</w:t>
      </w:r>
      <w:r w:rsidRPr="007C5F5A">
        <w:rPr>
          <w:rFonts w:ascii="Arial" w:hAnsi="Arial" w:cs="Arial"/>
          <w:color w:val="1F1A17"/>
        </w:rPr>
        <w:t xml:space="preserve"> Türkiye’de üretilmektedir. </w:t>
      </w:r>
    </w:p>
    <w:p w:rsidR="00A45A05" w:rsidRPr="007C5F5A" w:rsidP="00A45A05">
      <w:pPr>
        <w:widowControl w:val="0"/>
        <w:autoSpaceDE w:val="0"/>
        <w:autoSpaceDN w:val="0"/>
        <w:adjustRightInd w:val="0"/>
        <w:spacing w:after="0" w:line="21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0"/>
        <w:rPr>
          <w:rFonts w:ascii="Times New Roman" w:hAnsi="Times New Roman"/>
          <w:sz w:val="24"/>
          <w:szCs w:val="24"/>
        </w:rPr>
      </w:pPr>
      <w:r w:rsidRPr="007C5F5A">
        <w:rPr>
          <w:rFonts w:ascii="Arial" w:hAnsi="Arial" w:cs="Arial"/>
          <w:b/>
          <w:bCs/>
          <w:color w:val="E87817"/>
        </w:rPr>
        <w:t xml:space="preserve">Firmalara Göre 2010 yılı içerisinde ki Türk Motorlu Taşıt Üretimi </w:t>
      </w:r>
    </w:p>
    <w:p w:rsidR="00A45A05" w:rsidRPr="007C5F5A" w:rsidP="00A45A05">
      <w:pPr>
        <w:widowControl w:val="0"/>
        <w:autoSpaceDE w:val="0"/>
        <w:autoSpaceDN w:val="0"/>
        <w:adjustRightInd w:val="0"/>
        <w:spacing w:after="0" w:line="151"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3600"/>
        <w:rPr>
          <w:rFonts w:ascii="Times New Roman" w:hAnsi="Times New Roman"/>
          <w:sz w:val="24"/>
          <w:szCs w:val="24"/>
        </w:rPr>
      </w:pPr>
      <w:r w:rsidRPr="007C5F5A">
        <w:rPr>
          <w:rFonts w:ascii="Arial" w:hAnsi="Arial" w:cs="Arial"/>
          <w:b/>
          <w:bCs/>
          <w:color w:val="1F1A17"/>
          <w:sz w:val="18"/>
          <w:szCs w:val="18"/>
        </w:rPr>
        <w:t>(Birim halinde)</w:t>
      </w:r>
    </w:p>
    <w:p w:rsidR="00A45A05" w:rsidRPr="007C5F5A" w:rsidP="00A45A05">
      <w:pPr>
        <w:widowControl w:val="0"/>
        <w:autoSpaceDE w:val="0"/>
        <w:autoSpaceDN w:val="0"/>
        <w:adjustRightInd w:val="0"/>
        <w:spacing w:after="0" w:line="194" w:lineRule="exact"/>
        <w:rPr>
          <w:rFonts w:ascii="Times New Roman" w:hAnsi="Times New Roman"/>
          <w:sz w:val="24"/>
          <w:szCs w:val="24"/>
        </w:rPr>
      </w:pPr>
    </w:p>
    <w:tbl>
      <w:tblPr>
        <w:tblW w:w="0" w:type="auto"/>
        <w:tblInd w:w="20" w:type="dxa"/>
        <w:tblLayout w:type="fixed"/>
        <w:tblCellMar>
          <w:left w:w="0" w:type="dxa"/>
          <w:right w:w="0" w:type="dxa"/>
        </w:tblCellMar>
        <w:tblLook w:val="0000"/>
      </w:tblPr>
      <w:tblGrid>
        <w:gridCol w:w="1880"/>
        <w:gridCol w:w="1740"/>
        <w:gridCol w:w="1440"/>
        <w:gridCol w:w="1600"/>
        <w:gridCol w:w="1260"/>
      </w:tblGrid>
      <w:tr w:rsidTr="00BE30FE">
        <w:tblPrEx>
          <w:tblW w:w="0" w:type="auto"/>
          <w:tblInd w:w="20" w:type="dxa"/>
          <w:tblLayout w:type="fixed"/>
          <w:tblCellMar>
            <w:left w:w="0" w:type="dxa"/>
            <w:right w:w="0" w:type="dxa"/>
          </w:tblCellMar>
          <w:tblLook w:val="0000"/>
        </w:tblPrEx>
        <w:trPr>
          <w:trHeight w:val="221"/>
        </w:trPr>
        <w:tc>
          <w:tcPr>
            <w:tcW w:w="188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FFFFFF"/>
                <w:sz w:val="16"/>
                <w:szCs w:val="16"/>
              </w:rPr>
              <w:t>Firmalar</w:t>
            </w:r>
          </w:p>
        </w:tc>
        <w:tc>
          <w:tcPr>
            <w:tcW w:w="17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b/>
                <w:bCs/>
                <w:color w:val="FFFFFF"/>
                <w:sz w:val="16"/>
                <w:szCs w:val="16"/>
              </w:rPr>
              <w:t>Yolcu araçları</w:t>
            </w:r>
          </w:p>
        </w:tc>
        <w:tc>
          <w:tcPr>
            <w:tcW w:w="14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00"/>
              <w:jc w:val="center"/>
              <w:rPr>
                <w:rFonts w:ascii="Times New Roman" w:hAnsi="Times New Roman"/>
                <w:sz w:val="24"/>
                <w:szCs w:val="24"/>
              </w:rPr>
            </w:pPr>
            <w:r w:rsidRPr="007C5F5A">
              <w:rPr>
                <w:rFonts w:ascii="Arial" w:hAnsi="Arial" w:cs="Arial"/>
                <w:b/>
                <w:bCs/>
                <w:color w:val="FFFFFF"/>
                <w:sz w:val="16"/>
                <w:szCs w:val="16"/>
              </w:rPr>
              <w:t xml:space="preserve">            Ticari</w:t>
            </w:r>
          </w:p>
        </w:tc>
        <w:tc>
          <w:tcPr>
            <w:tcW w:w="160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340"/>
              <w:jc w:val="right"/>
              <w:rPr>
                <w:rFonts w:ascii="Arial" w:hAnsi="Arial" w:cs="Arial"/>
                <w:b/>
                <w:bCs/>
                <w:color w:val="FFFFFF"/>
                <w:sz w:val="16"/>
                <w:szCs w:val="16"/>
              </w:rPr>
            </w:pPr>
            <w:r w:rsidRPr="007C5F5A">
              <w:rPr>
                <w:rFonts w:ascii="Arial" w:hAnsi="Arial" w:cs="Arial"/>
                <w:b/>
                <w:bCs/>
                <w:color w:val="FFFFFF"/>
                <w:sz w:val="16"/>
                <w:szCs w:val="16"/>
              </w:rPr>
              <w:t>Tarım Traktörleri</w:t>
            </w: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20" w:type="dxa"/>
          <w:tblLayout w:type="fixed"/>
          <w:tblCellMar>
            <w:left w:w="0" w:type="dxa"/>
            <w:right w:w="0" w:type="dxa"/>
          </w:tblCellMar>
          <w:tblLook w:val="0000"/>
        </w:tblPrEx>
        <w:trPr>
          <w:trHeight w:val="236"/>
        </w:trPr>
        <w:tc>
          <w:tcPr>
            <w:tcW w:w="188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7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80"/>
              <w:rPr>
                <w:rFonts w:ascii="Times New Roman" w:hAnsi="Times New Roman"/>
                <w:sz w:val="24"/>
                <w:szCs w:val="24"/>
              </w:rPr>
            </w:pPr>
          </w:p>
        </w:tc>
        <w:tc>
          <w:tcPr>
            <w:tcW w:w="14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b/>
                <w:bCs/>
                <w:color w:val="FFFFFF"/>
                <w:sz w:val="16"/>
                <w:szCs w:val="16"/>
              </w:rPr>
              <w:t xml:space="preserve">Araçlar </w:t>
            </w:r>
          </w:p>
        </w:tc>
        <w:tc>
          <w:tcPr>
            <w:tcW w:w="160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340"/>
              <w:rPr>
                <w:rFonts w:ascii="Times New Roman" w:hAnsi="Times New Roman"/>
                <w:sz w:val="24"/>
                <w:szCs w:val="24"/>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b/>
                <w:bCs/>
                <w:color w:val="FFFFFF"/>
                <w:sz w:val="16"/>
                <w:szCs w:val="16"/>
              </w:rPr>
              <w:t>Toplam</w:t>
            </w:r>
          </w:p>
        </w:tc>
      </w:tr>
      <w:tr w:rsidTr="00BE30FE">
        <w:tblPrEx>
          <w:tblW w:w="0" w:type="auto"/>
          <w:tblInd w:w="20" w:type="dxa"/>
          <w:tblLayout w:type="fixed"/>
          <w:tblCellMar>
            <w:left w:w="0" w:type="dxa"/>
            <w:right w:w="0" w:type="dxa"/>
          </w:tblCellMar>
          <w:tblLook w:val="0000"/>
        </w:tblPrEx>
        <w:trPr>
          <w:trHeight w:val="69"/>
        </w:trPr>
        <w:tc>
          <w:tcPr>
            <w:tcW w:w="188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6"/>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Tofaş</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color w:val="1F1A17"/>
                <w:sz w:val="16"/>
                <w:szCs w:val="16"/>
              </w:rPr>
              <w:t>115,720</w:t>
            </w: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196,525</w:t>
            </w: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312,245</w:t>
            </w:r>
          </w:p>
        </w:tc>
      </w:tr>
      <w:tr w:rsidTr="00BE30FE">
        <w:tblPrEx>
          <w:tblW w:w="0" w:type="auto"/>
          <w:tblInd w:w="20" w:type="dxa"/>
          <w:tblLayout w:type="fixed"/>
          <w:tblCellMar>
            <w:left w:w="0" w:type="dxa"/>
            <w:right w:w="0" w:type="dxa"/>
          </w:tblCellMar>
          <w:tblLook w:val="0000"/>
        </w:tblPrEx>
        <w:trPr>
          <w:trHeight w:val="72"/>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4"/>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Oyak-Renault</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color w:val="1F1A17"/>
                <w:sz w:val="16"/>
                <w:szCs w:val="16"/>
              </w:rPr>
              <w:t>307,083</w:t>
            </w: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307,083</w:t>
            </w:r>
          </w:p>
        </w:tc>
      </w:tr>
      <w:tr w:rsidTr="00BE30FE">
        <w:tblPrEx>
          <w:tblW w:w="0" w:type="auto"/>
          <w:tblInd w:w="20" w:type="dxa"/>
          <w:tblLayout w:type="fixed"/>
          <w:tblCellMar>
            <w:left w:w="0" w:type="dxa"/>
            <w:right w:w="0" w:type="dxa"/>
          </w:tblCellMar>
          <w:tblLook w:val="0000"/>
        </w:tblPrEx>
        <w:trPr>
          <w:trHeight w:val="73"/>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3"/>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Ford Otosan</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242,070</w:t>
            </w: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242,070</w:t>
            </w:r>
          </w:p>
        </w:tc>
      </w:tr>
      <w:tr w:rsidTr="00BE30FE">
        <w:tblPrEx>
          <w:tblW w:w="0" w:type="auto"/>
          <w:tblInd w:w="20" w:type="dxa"/>
          <w:tblLayout w:type="fixed"/>
          <w:tblCellMar>
            <w:left w:w="0" w:type="dxa"/>
            <w:right w:w="0" w:type="dxa"/>
          </w:tblCellMar>
          <w:tblLook w:val="0000"/>
        </w:tblPrEx>
        <w:trPr>
          <w:trHeight w:val="73"/>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2"/>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Toyota</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color w:val="1F1A17"/>
                <w:sz w:val="16"/>
                <w:szCs w:val="16"/>
              </w:rPr>
              <w:t>83,286</w:t>
            </w: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83,286</w:t>
            </w:r>
          </w:p>
        </w:tc>
      </w:tr>
      <w:tr w:rsidTr="00BE30FE">
        <w:tblPrEx>
          <w:tblW w:w="0" w:type="auto"/>
          <w:tblInd w:w="20" w:type="dxa"/>
          <w:tblLayout w:type="fixed"/>
          <w:tblCellMar>
            <w:left w:w="0" w:type="dxa"/>
            <w:right w:w="0" w:type="dxa"/>
          </w:tblCellMar>
          <w:tblLook w:val="0000"/>
        </w:tblPrEx>
        <w:trPr>
          <w:trHeight w:val="74"/>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2"/>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Hyundai Assan</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color w:val="1F1A17"/>
                <w:sz w:val="16"/>
                <w:szCs w:val="16"/>
              </w:rPr>
              <w:t>77,000</w:t>
            </w: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77,000</w:t>
            </w:r>
          </w:p>
        </w:tc>
      </w:tr>
      <w:tr w:rsidTr="00BE30FE">
        <w:tblPrEx>
          <w:tblW w:w="0" w:type="auto"/>
          <w:tblInd w:w="20" w:type="dxa"/>
          <w:tblLayout w:type="fixed"/>
          <w:tblCellMar>
            <w:left w:w="0" w:type="dxa"/>
            <w:right w:w="0" w:type="dxa"/>
          </w:tblCellMar>
          <w:tblLook w:val="0000"/>
        </w:tblPrEx>
        <w:trPr>
          <w:trHeight w:val="75"/>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1"/>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Türk</w:t>
            </w:r>
            <w:r w:rsidRPr="007C5F5A">
              <w:rPr>
                <w:rFonts w:ascii="Arial" w:hAnsi="Arial" w:cs="Arial"/>
                <w:color w:val="1F1A17"/>
                <w:sz w:val="16"/>
                <w:szCs w:val="16"/>
              </w:rPr>
              <w:t>Trator</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340"/>
              <w:jc w:val="right"/>
              <w:rPr>
                <w:rFonts w:ascii="Times New Roman" w:hAnsi="Times New Roman"/>
                <w:sz w:val="24"/>
                <w:szCs w:val="24"/>
              </w:rPr>
            </w:pPr>
            <w:r w:rsidRPr="007C5F5A">
              <w:rPr>
                <w:rFonts w:ascii="Arial" w:hAnsi="Arial" w:cs="Arial"/>
                <w:color w:val="1F1A17"/>
                <w:sz w:val="16"/>
                <w:szCs w:val="16"/>
              </w:rPr>
              <w:t>28,277</w:t>
            </w: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28,277</w:t>
            </w:r>
          </w:p>
        </w:tc>
      </w:tr>
      <w:tr w:rsidTr="00BE30FE">
        <w:tblPrEx>
          <w:tblW w:w="0" w:type="auto"/>
          <w:tblInd w:w="20" w:type="dxa"/>
          <w:tblLayout w:type="fixed"/>
          <w:tblCellMar>
            <w:left w:w="0" w:type="dxa"/>
            <w:right w:w="0" w:type="dxa"/>
          </w:tblCellMar>
          <w:tblLook w:val="0000"/>
        </w:tblPrEx>
        <w:trPr>
          <w:trHeight w:val="75"/>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0"/>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Karsan</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24,719</w:t>
            </w: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24,719</w:t>
            </w:r>
          </w:p>
        </w:tc>
      </w:tr>
      <w:tr w:rsidTr="00BE30FE">
        <w:tblPrEx>
          <w:tblW w:w="0" w:type="auto"/>
          <w:tblInd w:w="20" w:type="dxa"/>
          <w:tblLayout w:type="fixed"/>
          <w:tblCellMar>
            <w:left w:w="0" w:type="dxa"/>
            <w:right w:w="0" w:type="dxa"/>
          </w:tblCellMar>
          <w:tblLook w:val="0000"/>
        </w:tblPrEx>
        <w:trPr>
          <w:trHeight w:val="76"/>
        </w:trPr>
        <w:tc>
          <w:tcPr>
            <w:tcW w:w="1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Ind w:w="20" w:type="dxa"/>
          <w:tblLayout w:type="fixed"/>
          <w:tblCellMar>
            <w:left w:w="0" w:type="dxa"/>
            <w:right w:w="0" w:type="dxa"/>
          </w:tblCellMar>
          <w:tblLook w:val="0000"/>
        </w:tblPrEx>
        <w:trPr>
          <w:trHeight w:val="270"/>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Honda Turkiye</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color w:val="1F1A17"/>
                <w:sz w:val="16"/>
                <w:szCs w:val="16"/>
              </w:rPr>
              <w:t>20,305</w:t>
            </w: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60"/>
              <w:jc w:val="right"/>
              <w:rPr>
                <w:rFonts w:ascii="Times New Roman" w:hAnsi="Times New Roman"/>
                <w:sz w:val="24"/>
                <w:szCs w:val="24"/>
              </w:rPr>
            </w:pPr>
            <w:r w:rsidRPr="007C5F5A">
              <w:rPr>
                <w:rFonts w:ascii="Arial" w:hAnsi="Arial" w:cs="Arial"/>
                <w:color w:val="1F1A17"/>
                <w:sz w:val="16"/>
                <w:szCs w:val="16"/>
              </w:rPr>
              <w:t>20,305</w:t>
            </w:r>
          </w:p>
        </w:tc>
      </w:tr>
      <w:tr w:rsidTr="00BE30FE">
        <w:tblPrEx>
          <w:tblW w:w="0" w:type="auto"/>
          <w:tblInd w:w="20" w:type="dxa"/>
          <w:tblLayout w:type="fixed"/>
          <w:tblCellMar>
            <w:left w:w="0" w:type="dxa"/>
            <w:right w:w="0" w:type="dxa"/>
          </w:tblCellMar>
          <w:tblLook w:val="0000"/>
        </w:tblPrEx>
        <w:trPr>
          <w:trHeight w:val="76"/>
        </w:trPr>
        <w:tc>
          <w:tcPr>
            <w:tcW w:w="18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2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bl>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1120" w:bottom="320" w:left="3360" w:header="708" w:footer="708" w:gutter="0"/>
          <w:cols w:space="140" w:equalWidth="0">
            <w:col w:w="7940" w:space="30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140" w:equalWidth="0">
            <w:col w:w="6000" w:space="3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tbl>
      <w:tblPr>
        <w:tblW w:w="0" w:type="auto"/>
        <w:tblLayout w:type="fixed"/>
        <w:tblCellMar>
          <w:left w:w="0" w:type="dxa"/>
          <w:right w:w="0" w:type="dxa"/>
        </w:tblCellMar>
        <w:tblLook w:val="0000"/>
      </w:tblPr>
      <w:tblGrid>
        <w:gridCol w:w="2600"/>
        <w:gridCol w:w="780"/>
        <w:gridCol w:w="1840"/>
        <w:gridCol w:w="1760"/>
        <w:gridCol w:w="1460"/>
        <w:gridCol w:w="1540"/>
        <w:gridCol w:w="780"/>
        <w:gridCol w:w="540"/>
      </w:tblGrid>
      <w:tr w:rsidTr="00BE30FE">
        <w:tblPrEx>
          <w:tblW w:w="0" w:type="auto"/>
          <w:tblLayout w:type="fixed"/>
          <w:tblCellMar>
            <w:left w:w="0" w:type="dxa"/>
            <w:right w:w="0" w:type="dxa"/>
          </w:tblCellMar>
          <w:tblLook w:val="0000"/>
        </w:tblPrEx>
        <w:trPr>
          <w:trHeight w:val="235"/>
        </w:trPr>
        <w:tc>
          <w:tcPr>
            <w:tcW w:w="2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r>
              <w:rPr>
                <w:noProof/>
              </w:rPr>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880350" cy="9446895"/>
                  <wp:effectExtent l="0" t="0" r="0" b="0"/>
                  <wp:wrapNone/>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8134" name="Picture 153"/>
                          <pic:cNvPicPr>
                            <a:picLocks noChangeAspect="1" noChangeArrowheads="1"/>
                          </pic:cNvPicPr>
                        </pic:nvPicPr>
                        <pic:blipFill>
                          <a:blip xmlns:r="http://schemas.openxmlformats.org/officeDocument/2006/relationships" r:embed="rId1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single" w:sz="8" w:space="0" w:color="1F1A17"/>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single" w:sz="8" w:space="0" w:color="1F1A17"/>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r>
      <w:tr w:rsidTr="00BE30FE">
        <w:tblPrEx>
          <w:tblW w:w="0" w:type="auto"/>
          <w:tblLayout w:type="fixed"/>
          <w:tblCellMar>
            <w:left w:w="0" w:type="dxa"/>
            <w:right w:w="0" w:type="dxa"/>
          </w:tblCellMar>
          <w:tblLook w:val="0000"/>
        </w:tblPrEx>
        <w:trPr>
          <w:trHeight w:val="904"/>
        </w:trPr>
        <w:tc>
          <w:tcPr>
            <w:tcW w:w="2600" w:type="dxa"/>
            <w:tcBorders>
              <w:top w:val="nil"/>
              <w:left w:val="nil"/>
              <w:bottom w:val="single" w:sz="8" w:space="0" w:color="DEDEDE"/>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r>
      <w:tr w:rsidTr="00BE30FE">
        <w:tblPrEx>
          <w:tblW w:w="0" w:type="auto"/>
          <w:tblLayout w:type="fixed"/>
          <w:tblCellMar>
            <w:left w:w="0" w:type="dxa"/>
            <w:right w:w="0" w:type="dxa"/>
          </w:tblCellMar>
          <w:tblLook w:val="0000"/>
        </w:tblPrEx>
        <w:trPr>
          <w:trHeight w:val="221"/>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FFFFFF"/>
                <w:sz w:val="16"/>
                <w:szCs w:val="16"/>
              </w:rPr>
              <w:t>Firmalar</w:t>
            </w:r>
          </w:p>
        </w:tc>
        <w:tc>
          <w:tcPr>
            <w:tcW w:w="17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b/>
                <w:bCs/>
                <w:color w:val="FFFFFF"/>
                <w:sz w:val="16"/>
                <w:szCs w:val="16"/>
              </w:rPr>
              <w:t>Yolcu</w:t>
            </w:r>
          </w:p>
        </w:tc>
        <w:tc>
          <w:tcPr>
            <w:tcW w:w="14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b/>
                <w:bCs/>
                <w:color w:val="FFFFFF"/>
                <w:sz w:val="16"/>
                <w:szCs w:val="16"/>
              </w:rPr>
              <w:t>Ticari</w:t>
            </w:r>
          </w:p>
        </w:tc>
        <w:tc>
          <w:tcPr>
            <w:tcW w:w="15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80"/>
              <w:jc w:val="right"/>
              <w:rPr>
                <w:rFonts w:ascii="Times New Roman" w:hAnsi="Times New Roman"/>
                <w:sz w:val="24"/>
                <w:szCs w:val="24"/>
              </w:rPr>
            </w:pPr>
            <w:r w:rsidRPr="007C5F5A">
              <w:rPr>
                <w:rFonts w:ascii="Arial" w:hAnsi="Arial" w:cs="Arial"/>
                <w:b/>
                <w:bCs/>
                <w:color w:val="FFFFFF"/>
                <w:sz w:val="16"/>
                <w:szCs w:val="16"/>
              </w:rPr>
              <w:t>Tarım</w:t>
            </w:r>
          </w:p>
        </w:tc>
        <w:tc>
          <w:tcPr>
            <w:tcW w:w="780" w:type="dxa"/>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Layout w:type="fixed"/>
          <w:tblCellMar>
            <w:left w:w="0" w:type="dxa"/>
            <w:right w:w="0" w:type="dxa"/>
          </w:tblCellMar>
          <w:tblLook w:val="0000"/>
        </w:tblPrEx>
        <w:trPr>
          <w:trHeight w:val="236"/>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7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b/>
                <w:bCs/>
                <w:color w:val="FFFFFF"/>
                <w:sz w:val="16"/>
                <w:szCs w:val="16"/>
              </w:rPr>
              <w:t>Araçları</w:t>
            </w:r>
          </w:p>
        </w:tc>
        <w:tc>
          <w:tcPr>
            <w:tcW w:w="14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b/>
                <w:bCs/>
                <w:color w:val="FFFFFF"/>
                <w:sz w:val="16"/>
                <w:szCs w:val="16"/>
              </w:rPr>
              <w:t>Araçlar</w:t>
            </w:r>
          </w:p>
        </w:tc>
        <w:tc>
          <w:tcPr>
            <w:tcW w:w="15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280"/>
              <w:jc w:val="right"/>
              <w:rPr>
                <w:rFonts w:ascii="Times New Roman" w:hAnsi="Times New Roman"/>
                <w:sz w:val="24"/>
                <w:szCs w:val="24"/>
              </w:rPr>
            </w:pPr>
            <w:r w:rsidRPr="007C5F5A">
              <w:rPr>
                <w:rFonts w:ascii="Arial" w:hAnsi="Arial" w:cs="Arial"/>
                <w:b/>
                <w:bCs/>
                <w:color w:val="FFFFFF"/>
                <w:sz w:val="16"/>
                <w:szCs w:val="16"/>
              </w:rPr>
              <w:t>Traktörleri</w:t>
            </w:r>
          </w:p>
        </w:tc>
        <w:tc>
          <w:tcPr>
            <w:tcW w:w="1320" w:type="dxa"/>
            <w:gridSpan w:val="2"/>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b/>
                <w:bCs/>
                <w:color w:val="FFFFFF"/>
                <w:sz w:val="16"/>
                <w:szCs w:val="16"/>
              </w:rPr>
              <w:t>Toplam</w:t>
            </w:r>
          </w:p>
        </w:tc>
      </w:tr>
      <w:tr w:rsidTr="00BE30FE">
        <w:tblPrEx>
          <w:tblW w:w="0" w:type="auto"/>
          <w:tblLayout w:type="fixed"/>
          <w:tblCellMar>
            <w:left w:w="0" w:type="dxa"/>
            <w:right w:w="0" w:type="dxa"/>
          </w:tblCellMar>
          <w:tblLook w:val="0000"/>
        </w:tblPrEx>
        <w:trPr>
          <w:trHeight w:val="69"/>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E87817"/>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6"/>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M. Benz Tork</w:t>
            </w: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14,480</w:t>
            </w: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14,480</w:t>
            </w:r>
          </w:p>
        </w:tc>
      </w:tr>
      <w:tr w:rsidTr="00BE30FE">
        <w:tblPrEx>
          <w:tblW w:w="0" w:type="auto"/>
          <w:tblLayout w:type="fixed"/>
          <w:tblCellMar>
            <w:left w:w="0" w:type="dxa"/>
            <w:right w:w="0" w:type="dxa"/>
          </w:tblCellMar>
          <w:tblLook w:val="0000"/>
        </w:tblPrEx>
        <w:trPr>
          <w:trHeight w:val="72"/>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4"/>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Temsa</w:t>
            </w: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3,367</w:t>
            </w: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3,367</w:t>
            </w:r>
          </w:p>
        </w:tc>
      </w:tr>
      <w:tr w:rsidTr="00BE30FE">
        <w:tblPrEx>
          <w:tblW w:w="0" w:type="auto"/>
          <w:tblLayout w:type="fixed"/>
          <w:tblCellMar>
            <w:left w:w="0" w:type="dxa"/>
            <w:right w:w="0" w:type="dxa"/>
          </w:tblCellMar>
          <w:tblLook w:val="0000"/>
        </w:tblPrEx>
        <w:trPr>
          <w:trHeight w:val="73"/>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3"/>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B. M. C.</w:t>
            </w: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3,342</w:t>
            </w: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3,342</w:t>
            </w:r>
          </w:p>
        </w:tc>
      </w:tr>
      <w:tr w:rsidTr="00BE30FE">
        <w:tblPrEx>
          <w:tblW w:w="0" w:type="auto"/>
          <w:tblLayout w:type="fixed"/>
          <w:tblCellMar>
            <w:left w:w="0" w:type="dxa"/>
            <w:right w:w="0" w:type="dxa"/>
          </w:tblCellMar>
          <w:tblLook w:val="0000"/>
        </w:tblPrEx>
        <w:trPr>
          <w:trHeight w:val="73"/>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2"/>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Anadolu Isuzu</w:t>
            </w: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3,292</w:t>
            </w: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3,292</w:t>
            </w:r>
          </w:p>
        </w:tc>
      </w:tr>
      <w:tr w:rsidTr="00BE30FE">
        <w:tblPrEx>
          <w:tblW w:w="0" w:type="auto"/>
          <w:tblLayout w:type="fixed"/>
          <w:tblCellMar>
            <w:left w:w="0" w:type="dxa"/>
            <w:right w:w="0" w:type="dxa"/>
          </w:tblCellMar>
          <w:tblLook w:val="0000"/>
        </w:tblPrEx>
        <w:trPr>
          <w:trHeight w:val="74"/>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2"/>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Otokar</w:t>
            </w: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2,236</w:t>
            </w: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2,236</w:t>
            </w:r>
          </w:p>
        </w:tc>
      </w:tr>
      <w:tr w:rsidTr="00BE30FE">
        <w:tblPrEx>
          <w:tblW w:w="0" w:type="auto"/>
          <w:tblLayout w:type="fixed"/>
          <w:tblCellMar>
            <w:left w:w="0" w:type="dxa"/>
            <w:right w:w="0" w:type="dxa"/>
          </w:tblCellMar>
          <w:tblLook w:val="0000"/>
        </w:tblPrEx>
        <w:trPr>
          <w:trHeight w:val="75"/>
        </w:trPr>
        <w:tc>
          <w:tcPr>
            <w:tcW w:w="2600" w:type="dxa"/>
            <w:tcBorders>
              <w:top w:val="nil"/>
              <w:left w:val="nil"/>
              <w:bottom w:val="nil"/>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326"/>
        </w:trPr>
        <w:tc>
          <w:tcPr>
            <w:tcW w:w="2600" w:type="dxa"/>
            <w:tcBorders>
              <w:top w:val="nil"/>
              <w:left w:val="nil"/>
              <w:bottom w:val="single" w:sz="8" w:space="0" w:color="DEDEDE"/>
              <w:right w:val="nil"/>
            </w:tcBorders>
            <w:shd w:val="clear" w:color="auto" w:fill="DEDEDE"/>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Hattat Tarım</w:t>
            </w:r>
          </w:p>
        </w:tc>
        <w:tc>
          <w:tcPr>
            <w:tcW w:w="17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right="280"/>
              <w:jc w:val="right"/>
              <w:rPr>
                <w:rFonts w:ascii="Times New Roman" w:hAnsi="Times New Roman"/>
                <w:sz w:val="24"/>
                <w:szCs w:val="24"/>
              </w:rPr>
            </w:pPr>
            <w:r w:rsidRPr="007C5F5A">
              <w:rPr>
                <w:rFonts w:ascii="Arial" w:hAnsi="Arial" w:cs="Arial"/>
                <w:color w:val="1F1A17"/>
                <w:sz w:val="16"/>
                <w:szCs w:val="16"/>
              </w:rPr>
              <w:t>2,148</w:t>
            </w:r>
          </w:p>
        </w:tc>
        <w:tc>
          <w:tcPr>
            <w:tcW w:w="1320" w:type="dxa"/>
            <w:gridSpan w:val="2"/>
            <w:tcBorders>
              <w:top w:val="nil"/>
              <w:left w:val="nil"/>
              <w:bottom w:val="single" w:sz="8" w:space="0" w:color="F7C44A"/>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2,148</w:t>
            </w:r>
          </w:p>
        </w:tc>
      </w:tr>
      <w:tr w:rsidTr="00BE30FE">
        <w:tblPrEx>
          <w:tblW w:w="0" w:type="auto"/>
          <w:tblLayout w:type="fixed"/>
          <w:tblCellMar>
            <w:left w:w="0" w:type="dxa"/>
            <w:right w:w="0" w:type="dxa"/>
          </w:tblCellMar>
          <w:tblLook w:val="0000"/>
        </w:tblPrEx>
        <w:trPr>
          <w:trHeight w:val="270"/>
        </w:trPr>
        <w:tc>
          <w:tcPr>
            <w:tcW w:w="2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MAN Turkiye</w:t>
            </w: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1,132</w:t>
            </w: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1F1A17"/>
                <w:sz w:val="16"/>
                <w:szCs w:val="16"/>
              </w:rPr>
              <w:t>1,132</w:t>
            </w:r>
          </w:p>
        </w:tc>
      </w:tr>
      <w:tr w:rsidTr="00BE30FE">
        <w:tblPrEx>
          <w:tblW w:w="0" w:type="auto"/>
          <w:tblLayout w:type="fixed"/>
          <w:tblCellMar>
            <w:left w:w="0" w:type="dxa"/>
            <w:right w:w="0" w:type="dxa"/>
          </w:tblCellMar>
          <w:tblLook w:val="0000"/>
        </w:tblPrEx>
        <w:trPr>
          <w:trHeight w:val="76"/>
        </w:trPr>
        <w:tc>
          <w:tcPr>
            <w:tcW w:w="2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0"/>
        </w:trPr>
        <w:tc>
          <w:tcPr>
            <w:tcW w:w="2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1F1A17"/>
                <w:sz w:val="16"/>
                <w:szCs w:val="16"/>
              </w:rPr>
              <w:t>TOPLAM</w:t>
            </w: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180"/>
              <w:jc w:val="right"/>
              <w:rPr>
                <w:rFonts w:ascii="Times New Roman" w:hAnsi="Times New Roman"/>
                <w:sz w:val="24"/>
                <w:szCs w:val="24"/>
              </w:rPr>
            </w:pPr>
            <w:r w:rsidRPr="007C5F5A">
              <w:rPr>
                <w:rFonts w:ascii="Arial" w:hAnsi="Arial" w:cs="Arial"/>
                <w:b/>
                <w:bCs/>
                <w:color w:val="1F1A17"/>
                <w:sz w:val="16"/>
                <w:szCs w:val="16"/>
              </w:rPr>
              <w:t>603,394</w:t>
            </w: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b/>
                <w:bCs/>
                <w:color w:val="1F1A17"/>
                <w:sz w:val="16"/>
                <w:szCs w:val="16"/>
              </w:rPr>
              <w:t>491,163</w:t>
            </w: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280"/>
              <w:jc w:val="right"/>
              <w:rPr>
                <w:rFonts w:ascii="Times New Roman" w:hAnsi="Times New Roman"/>
                <w:sz w:val="24"/>
                <w:szCs w:val="24"/>
              </w:rPr>
            </w:pPr>
            <w:r w:rsidRPr="007C5F5A">
              <w:rPr>
                <w:rFonts w:ascii="Arial" w:hAnsi="Arial" w:cs="Arial"/>
                <w:b/>
                <w:bCs/>
                <w:color w:val="1F1A17"/>
                <w:sz w:val="16"/>
                <w:szCs w:val="16"/>
              </w:rPr>
              <w:t>30,425</w:t>
            </w:r>
          </w:p>
        </w:tc>
        <w:tc>
          <w:tcPr>
            <w:tcW w:w="1320" w:type="dxa"/>
            <w:gridSpan w:val="2"/>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b/>
                <w:bCs/>
                <w:color w:val="1F1A17"/>
                <w:sz w:val="16"/>
                <w:szCs w:val="16"/>
              </w:rPr>
              <w:t>1.124.982</w:t>
            </w:r>
          </w:p>
        </w:tc>
      </w:tr>
      <w:tr w:rsidTr="00BE30FE">
        <w:tblPrEx>
          <w:tblW w:w="0" w:type="auto"/>
          <w:tblLayout w:type="fixed"/>
          <w:tblCellMar>
            <w:left w:w="0" w:type="dxa"/>
            <w:right w:w="0" w:type="dxa"/>
          </w:tblCellMar>
          <w:tblLook w:val="0000"/>
        </w:tblPrEx>
        <w:trPr>
          <w:trHeight w:val="76"/>
        </w:trPr>
        <w:tc>
          <w:tcPr>
            <w:tcW w:w="26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7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F7C44A"/>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bl>
    <w:p w:rsidR="00A45A05" w:rsidRPr="007C5F5A" w:rsidP="00A45A05">
      <w:pPr>
        <w:widowControl w:val="0"/>
        <w:autoSpaceDE w:val="0"/>
        <w:autoSpaceDN w:val="0"/>
        <w:adjustRightInd w:val="0"/>
        <w:spacing w:after="0" w:line="149"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3380"/>
        <w:rPr>
          <w:rFonts w:ascii="Times New Roman" w:hAnsi="Times New Roman"/>
          <w:sz w:val="24"/>
          <w:szCs w:val="24"/>
        </w:rPr>
      </w:pPr>
      <w:r w:rsidRPr="007C5F5A">
        <w:rPr>
          <w:rFonts w:ascii="Arial" w:hAnsi="Arial" w:cs="Arial"/>
          <w:i/>
          <w:iCs/>
          <w:color w:val="1F1A17"/>
          <w:sz w:val="17"/>
          <w:szCs w:val="17"/>
        </w:rPr>
        <w:t>Kaynak: Otomobil Üreticileri Birliği  (OSD)</w:t>
      </w:r>
    </w:p>
    <w:p w:rsidR="00A45A05" w:rsidRPr="007C5F5A" w:rsidP="00A45A05">
      <w:pPr>
        <w:widowControl w:val="0"/>
        <w:autoSpaceDE w:val="0"/>
        <w:autoSpaceDN w:val="0"/>
        <w:adjustRightInd w:val="0"/>
        <w:spacing w:after="0" w:line="311"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90" w:lineRule="auto"/>
        <w:ind w:left="3380"/>
        <w:jc w:val="both"/>
        <w:rPr>
          <w:rFonts w:ascii="Times New Roman" w:hAnsi="Times New Roman"/>
          <w:sz w:val="24"/>
          <w:szCs w:val="24"/>
        </w:rPr>
      </w:pPr>
      <w:r w:rsidRPr="007C5F5A">
        <w:rPr>
          <w:rFonts w:ascii="Arial" w:hAnsi="Arial" w:cs="Arial"/>
          <w:color w:val="1F1A17"/>
          <w:sz w:val="21"/>
          <w:szCs w:val="21"/>
        </w:rPr>
        <w:t xml:space="preserve">800’den fazla imalatçıyla </w:t>
      </w:r>
      <w:r w:rsidRPr="007C5F5A" w:rsidR="00493D0A">
        <w:rPr>
          <w:rFonts w:ascii="Arial" w:hAnsi="Arial" w:cs="Arial"/>
          <w:color w:val="1F1A17"/>
          <w:sz w:val="21"/>
          <w:szCs w:val="21"/>
        </w:rPr>
        <w:t>ülke gelişmekteolan parça</w:t>
      </w:r>
      <w:r w:rsidRPr="007C5F5A">
        <w:rPr>
          <w:rFonts w:ascii="Arial" w:hAnsi="Arial" w:cs="Arial"/>
          <w:color w:val="1F1A17"/>
          <w:sz w:val="21"/>
          <w:szCs w:val="21"/>
        </w:rPr>
        <w:t>, eleman ve tekerlek endüstrilerine sahiptir. Kullanılan parçaların %</w:t>
      </w:r>
      <w:r w:rsidRPr="007C5F5A" w:rsidR="00493D0A">
        <w:rPr>
          <w:rFonts w:ascii="Arial" w:hAnsi="Arial" w:cs="Arial"/>
          <w:color w:val="1F1A17"/>
          <w:sz w:val="21"/>
          <w:szCs w:val="21"/>
        </w:rPr>
        <w:t>80’i yerel</w:t>
      </w:r>
      <w:r w:rsidRPr="007C5F5A">
        <w:rPr>
          <w:rFonts w:ascii="Arial" w:hAnsi="Arial" w:cs="Arial"/>
          <w:color w:val="1F1A17"/>
          <w:sz w:val="21"/>
          <w:szCs w:val="21"/>
        </w:rPr>
        <w:t xml:space="preserve"> üretimdir. Otomobil parçaları endüstrisindeki yabancı şirketlerin bazıları arasında  Bosal Holding (Belçika), Arcelor Auto (Fransa), H.P. ChemiePelzer (Almanya), MagnettiMarelli (</w:t>
      </w:r>
      <w:r w:rsidRPr="007C5F5A" w:rsidR="00493D0A">
        <w:rPr>
          <w:rFonts w:ascii="Arial" w:hAnsi="Arial" w:cs="Arial"/>
          <w:color w:val="1F1A17"/>
          <w:sz w:val="21"/>
          <w:szCs w:val="21"/>
        </w:rPr>
        <w:t>İtalya</w:t>
      </w:r>
      <w:r w:rsidRPr="007C5F5A">
        <w:rPr>
          <w:rFonts w:ascii="Arial" w:hAnsi="Arial" w:cs="Arial"/>
          <w:color w:val="1F1A17"/>
          <w:sz w:val="21"/>
          <w:szCs w:val="21"/>
        </w:rPr>
        <w:t>), Mecaplast (Monako), Autoliv (İsveç), GestampAutomocionandBamesaGroup (İspanya), Robert Bosch (Almanya), Hanil E Hwa (Güney Kore), and Federal Mogul (İngiltere.), CumminsInc.(İngiltere.), Teksid (Italya), HeyesLemmerz (İngiltere.), ArvinMeritor (U), ExideCorp (A.B.D), Faurecia (Fransa), SangoCo. (Japonya), Yazaki (Japonya), MichelinKronprinz, GroupePlasticOmnium (Fransa),Goodyear (A.B.D), Bridgestone (Japonya), ToyodaIron Works (Japonya), ZF Lemförder (ALMANYA), ZF Friedrichshafen (Almanya) MandoCorp. (Güney KORE) bulunmaktadır.</w:t>
      </w:r>
    </w:p>
    <w:p w:rsidR="00A45A05" w:rsidRPr="007C5F5A" w:rsidP="00A45A05">
      <w:pPr>
        <w:widowControl w:val="0"/>
        <w:autoSpaceDE w:val="0"/>
        <w:autoSpaceDN w:val="0"/>
        <w:adjustRightInd w:val="0"/>
        <w:spacing w:after="0" w:line="21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left="3380"/>
        <w:jc w:val="both"/>
        <w:rPr>
          <w:rFonts w:ascii="Times New Roman" w:hAnsi="Times New Roman"/>
          <w:sz w:val="24"/>
          <w:szCs w:val="24"/>
        </w:rPr>
      </w:pPr>
      <w:r w:rsidRPr="007C5F5A">
        <w:rPr>
          <w:rFonts w:ascii="Arial" w:hAnsi="Arial" w:cs="Arial"/>
          <w:color w:val="1F1A17"/>
        </w:rPr>
        <w:t xml:space="preserve">Türkiye’de üretilen taşıtların büyük bir bölümü yurt içinde tasarlanır ve sadece yerel olarak </w:t>
      </w:r>
      <w:r w:rsidRPr="007C5F5A" w:rsidR="00493D0A">
        <w:rPr>
          <w:rFonts w:ascii="Arial" w:hAnsi="Arial" w:cs="Arial"/>
          <w:color w:val="1F1A17"/>
        </w:rPr>
        <w:t>üretilir. Ancak</w:t>
      </w:r>
      <w:r w:rsidRPr="007C5F5A">
        <w:rPr>
          <w:rFonts w:ascii="Arial" w:hAnsi="Arial" w:cs="Arial"/>
          <w:color w:val="1F1A17"/>
        </w:rPr>
        <w:t xml:space="preserve">, Türkiye’nin kendine ait otomobil markası </w:t>
      </w:r>
      <w:r w:rsidRPr="007C5F5A" w:rsidR="00493D0A">
        <w:rPr>
          <w:rFonts w:ascii="Arial" w:hAnsi="Arial" w:cs="Arial"/>
          <w:color w:val="1F1A17"/>
        </w:rPr>
        <w:t>bulunmamaktadır. Cumhurbaşkanı</w:t>
      </w:r>
      <w:r w:rsidRPr="007C5F5A">
        <w:rPr>
          <w:rFonts w:ascii="Arial" w:hAnsi="Arial" w:cs="Arial"/>
          <w:color w:val="1F1A17"/>
        </w:rPr>
        <w:t xml:space="preserve"> Recep Tayyip </w:t>
      </w:r>
      <w:r w:rsidRPr="007C5F5A" w:rsidR="00493D0A">
        <w:rPr>
          <w:rFonts w:ascii="Arial" w:hAnsi="Arial" w:cs="Arial"/>
          <w:color w:val="1F1A17"/>
        </w:rPr>
        <w:t>Erdoğan Türkiye’nin</w:t>
      </w:r>
      <w:r w:rsidRPr="007C5F5A">
        <w:rPr>
          <w:rFonts w:ascii="Arial" w:hAnsi="Arial" w:cs="Arial"/>
          <w:color w:val="1F1A17"/>
        </w:rPr>
        <w:t xml:space="preserve"> ilk uluslararası otomobil markasını üretmek adına ülkenin önde gelen iş adamlarına baskı yapmaktadır.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left="3380"/>
        <w:jc w:val="both"/>
        <w:rPr>
          <w:rFonts w:ascii="Times New Roman" w:hAnsi="Times New Roman"/>
          <w:sz w:val="24"/>
          <w:szCs w:val="24"/>
        </w:rPr>
      </w:pPr>
      <w:r w:rsidRPr="007C5F5A">
        <w:rPr>
          <w:rFonts w:ascii="Arial" w:hAnsi="Arial" w:cs="Arial"/>
          <w:color w:val="1F1A17"/>
        </w:rPr>
        <w:t xml:space="preserve">Bu endüstri alanı, bütün otomobillerin yaklaşık %80’i ve ticari araçların %69’unun yurt dışına </w:t>
      </w:r>
      <w:r w:rsidRPr="007C5F5A" w:rsidR="00493D0A">
        <w:rPr>
          <w:rFonts w:ascii="Arial" w:hAnsi="Arial" w:cs="Arial"/>
          <w:color w:val="1F1A17"/>
        </w:rPr>
        <w:t>satılmasıyla, büyük</w:t>
      </w:r>
      <w:r w:rsidRPr="007C5F5A">
        <w:rPr>
          <w:rFonts w:ascii="Arial" w:hAnsi="Arial" w:cs="Arial"/>
          <w:color w:val="1F1A17"/>
        </w:rPr>
        <w:t xml:space="preserve"> bir çoğunlukla ihracata yöneliktir. </w:t>
      </w:r>
      <w:r w:rsidRPr="007C5F5A" w:rsidR="00493D0A">
        <w:rPr>
          <w:rFonts w:ascii="Arial" w:hAnsi="Arial" w:cs="Arial"/>
          <w:color w:val="1F1A17"/>
        </w:rPr>
        <w:t>Yapılan taşıt</w:t>
      </w:r>
      <w:r w:rsidRPr="007C5F5A">
        <w:rPr>
          <w:rFonts w:ascii="Arial" w:hAnsi="Arial" w:cs="Arial"/>
          <w:color w:val="1F1A17"/>
        </w:rPr>
        <w:t xml:space="preserve"> ihracatının %70’i Avrupa Birliğine üye ülkeleredir. Cumhur Başkanı Recep Tayyip </w:t>
      </w:r>
      <w:r w:rsidRPr="007C5F5A" w:rsidR="00493D0A">
        <w:rPr>
          <w:rFonts w:ascii="Arial" w:hAnsi="Arial" w:cs="Arial"/>
          <w:color w:val="1F1A17"/>
        </w:rPr>
        <w:t>Erdoğan’ınınmuhafazakârhükümeti 2023</w:t>
      </w:r>
      <w:r w:rsidRPr="007C5F5A">
        <w:rPr>
          <w:rFonts w:ascii="Arial" w:hAnsi="Arial" w:cs="Arial"/>
          <w:color w:val="1F1A17"/>
        </w:rPr>
        <w:t xml:space="preserve"> yılı ile birlikte, Cumhuriyetin 100. Yılında, yıllık otomobil ihracatından yaklaşık 75 Milyar Dolarlık gelir elde etmeyi hedeflemektedir.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left="3380"/>
        <w:jc w:val="both"/>
        <w:rPr>
          <w:rFonts w:ascii="Times New Roman" w:hAnsi="Times New Roman"/>
          <w:sz w:val="24"/>
          <w:szCs w:val="24"/>
        </w:rPr>
      </w:pPr>
      <w:r>
        <w:rPr>
          <w:rFonts w:ascii="Arial" w:hAnsi="Arial" w:cs="Arial"/>
          <w:color w:val="1F1A17"/>
        </w:rPr>
        <w:t>Ü</w:t>
      </w:r>
      <w:r w:rsidRPr="007C5F5A">
        <w:rPr>
          <w:rFonts w:ascii="Arial" w:hAnsi="Arial" w:cs="Arial"/>
          <w:color w:val="1F1A17"/>
        </w:rPr>
        <w:t>lkedeki tüketicilerinin gerekli</w:t>
      </w:r>
      <w:r w:rsidRPr="007C5F5A">
        <w:rPr>
          <w:rFonts w:ascii="Arial" w:hAnsi="Arial" w:cs="Arial"/>
          <w:color w:val="1F1A17"/>
        </w:rPr>
        <w:t xml:space="preserve"> ihtiyaçları arasında olan düşük maliyetli, küçük, </w:t>
      </w:r>
      <w:r w:rsidRPr="007C5F5A">
        <w:rPr>
          <w:rFonts w:ascii="Arial" w:hAnsi="Arial" w:cs="Arial"/>
          <w:color w:val="1F1A17"/>
        </w:rPr>
        <w:t>kibrit</w:t>
      </w:r>
      <w:r w:rsidRPr="007C5F5A">
        <w:rPr>
          <w:rFonts w:ascii="Arial" w:hAnsi="Arial" w:cs="Arial"/>
          <w:color w:val="1F1A17"/>
        </w:rPr>
        <w:t xml:space="preserve"> ya da elektrikle şarj olan modeller, Türkiye’de başlangıç aşamasındadır. 2011 yılının başlangıcında hükümet, ülkenin yabancı yönetim altındaki üreticilerini yurt içi ve yurt dışı piyasalarda endüstriyi canlandırmak adına elektrikli modeller üretmeye teşvik etmek için vergi teşvik tedbirlerini tanıtmıştır.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039" w:right="1120" w:bottom="320" w:left="0" w:header="708" w:footer="708" w:gutter="0"/>
          <w:cols w:space="708" w:equalWidth="0">
            <w:col w:w="1130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06"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039"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8720" behindDoc="1" locked="0" layoutInCell="0" allowOverlap="1">
            <wp:simplePos x="0" y="0"/>
            <wp:positionH relativeFrom="page">
              <wp:posOffset>0</wp:posOffset>
            </wp:positionH>
            <wp:positionV relativeFrom="page">
              <wp:posOffset>377190</wp:posOffset>
            </wp:positionV>
            <wp:extent cx="7880350" cy="9897110"/>
            <wp:effectExtent l="0" t="0" r="0" b="0"/>
            <wp:wrapNone/>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46096" name="Picture 154"/>
                    <pic:cNvPicPr>
                      <a:picLocks noChangeAspect="1" noChangeArrowheads="1"/>
                    </pic:cNvPicPr>
                  </pic:nvPicPr>
                  <pic:blipFill>
                    <a:blip xmlns:r="http://schemas.openxmlformats.org/officeDocument/2006/relationships" r:embed="rId1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jc w:val="both"/>
        <w:rPr>
          <w:rFonts w:ascii="Times New Roman" w:hAnsi="Times New Roman"/>
          <w:sz w:val="24"/>
          <w:szCs w:val="24"/>
        </w:rPr>
      </w:pPr>
      <w:r w:rsidRPr="007C5F5A">
        <w:rPr>
          <w:rFonts w:ascii="Arial" w:hAnsi="Arial" w:cs="Arial"/>
          <w:color w:val="1F1A17"/>
        </w:rPr>
        <w:t xml:space="preserve">Ekonomi </w:t>
      </w:r>
      <w:r w:rsidRPr="007C5F5A" w:rsidR="00493D0A">
        <w:rPr>
          <w:rFonts w:ascii="Arial" w:hAnsi="Arial" w:cs="Arial"/>
          <w:color w:val="1F1A17"/>
        </w:rPr>
        <w:t>Bakanlığının Şubat</w:t>
      </w:r>
      <w:r w:rsidRPr="007C5F5A">
        <w:rPr>
          <w:rFonts w:ascii="Arial" w:hAnsi="Arial" w:cs="Arial"/>
          <w:color w:val="1F1A17"/>
        </w:rPr>
        <w:t xml:space="preserve"> 2011 yılında Elektrikli taşıtlar üzerindeki Özel Tüketici Vergisinde (ÖTV)  yaptığı %37’den, %3’e düşen büyük </w:t>
      </w:r>
      <w:r w:rsidRPr="007C5F5A" w:rsidR="00493D0A">
        <w:rPr>
          <w:rFonts w:ascii="Arial" w:hAnsi="Arial" w:cs="Arial"/>
          <w:color w:val="1F1A17"/>
        </w:rPr>
        <w:t>indirimle Elektrikli</w:t>
      </w:r>
      <w:r w:rsidRPr="007C5F5A">
        <w:rPr>
          <w:rFonts w:ascii="Arial" w:hAnsi="Arial" w:cs="Arial"/>
          <w:color w:val="1F1A17"/>
        </w:rPr>
        <w:t xml:space="preserve"> taşıtlar üzerindeki satış vergisi, mazot ve </w:t>
      </w:r>
      <w:r w:rsidRPr="007C5F5A" w:rsidR="00493D0A">
        <w:rPr>
          <w:rFonts w:ascii="Arial" w:hAnsi="Arial" w:cs="Arial"/>
          <w:color w:val="1F1A17"/>
        </w:rPr>
        <w:t>diğer fosil</w:t>
      </w:r>
      <w:r w:rsidRPr="007C5F5A">
        <w:rPr>
          <w:rFonts w:ascii="Arial" w:hAnsi="Arial" w:cs="Arial"/>
          <w:color w:val="1F1A17"/>
        </w:rPr>
        <w:t xml:space="preserve"> yakıtları kullanan araçların fraksiyonu olacaktır. Motor kapasit</w:t>
      </w:r>
      <w:r w:rsidR="00493D0A">
        <w:rPr>
          <w:rFonts w:ascii="Arial" w:hAnsi="Arial" w:cs="Arial"/>
          <w:color w:val="1F1A17"/>
        </w:rPr>
        <w:t>esine bağlı olarak, benzin, diz</w:t>
      </w:r>
      <w:r w:rsidRPr="007C5F5A">
        <w:rPr>
          <w:rFonts w:ascii="Arial" w:hAnsi="Arial" w:cs="Arial"/>
          <w:color w:val="1F1A17"/>
        </w:rPr>
        <w:t>el, sıvılaştırılmış petrol kullanan otomobil alıcıları %37 ile %84 arasında değişen miktarda ÖTV ödeyecektir. Türk- tasarımlı elektrikli otomobiller Mart 2011 Geneva Otomobil Fuarında gösterime çıkacaktır.</w:t>
      </w:r>
    </w:p>
    <w:p w:rsidR="00A45A05" w:rsidRPr="007C5F5A" w:rsidP="00A45A05">
      <w:pPr>
        <w:widowControl w:val="0"/>
        <w:autoSpaceDE w:val="0"/>
        <w:autoSpaceDN w:val="0"/>
        <w:adjustRightInd w:val="0"/>
        <w:spacing w:after="0" w:line="224"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jc w:val="both"/>
        <w:rPr>
          <w:rFonts w:ascii="Times New Roman" w:hAnsi="Times New Roman"/>
          <w:sz w:val="24"/>
          <w:szCs w:val="24"/>
        </w:rPr>
      </w:pPr>
      <w:r w:rsidRPr="007C5F5A">
        <w:rPr>
          <w:rFonts w:ascii="Arial" w:hAnsi="Arial" w:cs="Arial"/>
          <w:color w:val="1F1A17"/>
        </w:rPr>
        <w:t xml:space="preserve">Teknoloji üretimi, </w:t>
      </w:r>
      <w:r w:rsidR="00493D0A">
        <w:rPr>
          <w:rFonts w:ascii="Arial" w:hAnsi="Arial" w:cs="Arial"/>
          <w:color w:val="1F1A17"/>
        </w:rPr>
        <w:t xml:space="preserve">yenilik </w:t>
      </w:r>
      <w:r w:rsidRPr="007C5F5A">
        <w:rPr>
          <w:rFonts w:ascii="Arial" w:hAnsi="Arial" w:cs="Arial"/>
          <w:color w:val="1F1A17"/>
        </w:rPr>
        <w:t xml:space="preserve">kapasitesi ve insan kaynakları açısından Türk Endüstrisinin yüksek kalitesi dünya çapında kabul edilmiştir. Ülkenin coğrafik yeri ve lojistik olanakları </w:t>
      </w:r>
      <w:r w:rsidRPr="007C5F5A" w:rsidR="00493D0A">
        <w:rPr>
          <w:rFonts w:ascii="Arial" w:hAnsi="Arial" w:cs="Arial"/>
          <w:color w:val="1F1A17"/>
        </w:rPr>
        <w:t>Türkiye’yi otomobil</w:t>
      </w:r>
      <w:r w:rsidRPr="007C5F5A">
        <w:rPr>
          <w:rFonts w:ascii="Arial" w:hAnsi="Arial" w:cs="Arial"/>
          <w:color w:val="1F1A17"/>
        </w:rPr>
        <w:t xml:space="preserve"> yatırımları için çekici hale getirmektedir. Türk şirketleri de bu faktörlerin </w:t>
      </w:r>
      <w:r w:rsidRPr="007C5F5A" w:rsidR="00493D0A">
        <w:rPr>
          <w:rFonts w:ascii="Arial" w:hAnsi="Arial" w:cs="Arial"/>
          <w:color w:val="1F1A17"/>
        </w:rPr>
        <w:t>dünya çapında rekabetteki</w:t>
      </w:r>
      <w:r w:rsidRPr="007C5F5A">
        <w:rPr>
          <w:rFonts w:ascii="Arial" w:hAnsi="Arial" w:cs="Arial"/>
          <w:color w:val="1F1A17"/>
        </w:rPr>
        <w:t xml:space="preserve"> öneminin farkındadır. Türkiye, adil rekabet, tüketicileri, patentler, makine direktifleri gibi konularda AB’nin otomotiv sektöründeki kanun ve kuralları ile uyumluluk konusunda gelişim </w:t>
      </w:r>
      <w:r w:rsidRPr="007C5F5A" w:rsidR="00493D0A">
        <w:rPr>
          <w:rFonts w:ascii="Arial" w:hAnsi="Arial" w:cs="Arial"/>
          <w:color w:val="1F1A17"/>
        </w:rPr>
        <w:t>göstermektedir. Ülkenin</w:t>
      </w:r>
      <w:r w:rsidRPr="007C5F5A">
        <w:rPr>
          <w:rFonts w:ascii="Arial" w:hAnsi="Arial" w:cs="Arial"/>
          <w:color w:val="1F1A17"/>
        </w:rPr>
        <w:t xml:space="preserve"> yasaları genellikle Gümrük Birliği ve Dünya Ticaret Örgütü bağlamındaki uluslararası serbest ticaret kuralları ile aynı doğrultudadır. </w:t>
      </w:r>
    </w:p>
    <w:p w:rsidR="00A45A05" w:rsidRPr="007C5F5A" w:rsidP="00A45A05">
      <w:pPr>
        <w:widowControl w:val="0"/>
        <w:autoSpaceDE w:val="0"/>
        <w:autoSpaceDN w:val="0"/>
        <w:adjustRightInd w:val="0"/>
        <w:spacing w:after="0" w:line="18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E87817"/>
          <w:sz w:val="26"/>
          <w:szCs w:val="26"/>
        </w:rPr>
        <w:t>Hindistan</w:t>
      </w:r>
    </w:p>
    <w:p w:rsidR="00A45A05" w:rsidRPr="007C5F5A" w:rsidP="00A45A05">
      <w:pPr>
        <w:widowControl w:val="0"/>
        <w:autoSpaceDE w:val="0"/>
        <w:autoSpaceDN w:val="0"/>
        <w:adjustRightInd w:val="0"/>
        <w:spacing w:after="0" w:line="25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Hindistan otomobil piyasasının 2016 ile birlikte dünyanın üçüncü büyük marketi olacağı ve </w:t>
      </w:r>
      <w:r w:rsidRPr="007C5F5A" w:rsidR="00493D0A">
        <w:rPr>
          <w:rFonts w:ascii="Arial" w:hAnsi="Arial" w:cs="Arial"/>
          <w:color w:val="1F1A17"/>
        </w:rPr>
        <w:t>dünya çapında</w:t>
      </w:r>
      <w:r w:rsidRPr="007C5F5A">
        <w:rPr>
          <w:rFonts w:ascii="Arial" w:hAnsi="Arial" w:cs="Arial"/>
          <w:color w:val="1F1A17"/>
        </w:rPr>
        <w:t xml:space="preserve"> taşıt satışlarının %5’inden fazlasını kapsayacağı öngörülmektedir; </w:t>
      </w:r>
      <w:r w:rsidRPr="007C5F5A" w:rsidR="00493D0A">
        <w:rPr>
          <w:rFonts w:ascii="Arial" w:hAnsi="Arial" w:cs="Arial"/>
          <w:color w:val="1F1A17"/>
        </w:rPr>
        <w:t>Hindistan’ın 2020</w:t>
      </w:r>
      <w:r w:rsidRPr="007C5F5A">
        <w:rPr>
          <w:rFonts w:ascii="Arial" w:hAnsi="Arial" w:cs="Arial"/>
          <w:color w:val="1F1A17"/>
        </w:rPr>
        <w:t xml:space="preserve"> yılında, Çin’den, ABD’den ve Japonya’dan sonra </w:t>
      </w:r>
      <w:r w:rsidRPr="007C5F5A" w:rsidR="00493D0A">
        <w:rPr>
          <w:rFonts w:ascii="Arial" w:hAnsi="Arial" w:cs="Arial"/>
          <w:color w:val="1F1A17"/>
        </w:rPr>
        <w:t>dünya çapında</w:t>
      </w:r>
      <w:r w:rsidRPr="007C5F5A">
        <w:rPr>
          <w:rFonts w:ascii="Arial" w:hAnsi="Arial" w:cs="Arial"/>
          <w:color w:val="1F1A17"/>
        </w:rPr>
        <w:t xml:space="preserve"> olarak 4. Otomobil üreticisi olması beklenmektedir. </w:t>
      </w:r>
    </w:p>
    <w:p w:rsidR="00A45A05" w:rsidRPr="007C5F5A" w:rsidP="00A45A05">
      <w:pPr>
        <w:widowControl w:val="0"/>
        <w:autoSpaceDE w:val="0"/>
        <w:autoSpaceDN w:val="0"/>
        <w:adjustRightInd w:val="0"/>
        <w:spacing w:after="0" w:line="254"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40"/>
        <w:rPr>
          <w:rFonts w:ascii="Times New Roman" w:hAnsi="Times New Roman"/>
          <w:sz w:val="24"/>
          <w:szCs w:val="24"/>
        </w:rPr>
      </w:pPr>
      <w:r w:rsidRPr="007C5F5A">
        <w:rPr>
          <w:rFonts w:ascii="Arial" w:hAnsi="Arial" w:cs="Arial"/>
          <w:b/>
          <w:bCs/>
          <w:color w:val="E87817"/>
          <w:sz w:val="24"/>
          <w:szCs w:val="24"/>
        </w:rPr>
        <w:t>Yolcu Taşıtı Üretimi</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17" w:lineRule="exact"/>
        <w:rPr>
          <w:rFonts w:ascii="Times New Roman" w:hAnsi="Times New Roman"/>
          <w:sz w:val="24"/>
          <w:szCs w:val="24"/>
        </w:rPr>
      </w:pPr>
    </w:p>
    <w:tbl>
      <w:tblPr>
        <w:tblW w:w="0" w:type="auto"/>
        <w:tblInd w:w="960" w:type="dxa"/>
        <w:tblLayout w:type="fixed"/>
        <w:tblCellMar>
          <w:left w:w="0" w:type="dxa"/>
          <w:right w:w="0" w:type="dxa"/>
        </w:tblCellMar>
        <w:tblLook w:val="0000"/>
      </w:tblPr>
      <w:tblGrid>
        <w:gridCol w:w="660"/>
        <w:gridCol w:w="800"/>
        <w:gridCol w:w="760"/>
        <w:gridCol w:w="860"/>
        <w:gridCol w:w="980"/>
        <w:gridCol w:w="680"/>
        <w:gridCol w:w="720"/>
        <w:gridCol w:w="920"/>
        <w:gridCol w:w="20"/>
      </w:tblGrid>
      <w:tr w:rsidTr="00BE30FE">
        <w:tblPrEx>
          <w:tblW w:w="0" w:type="auto"/>
          <w:tblInd w:w="960" w:type="dxa"/>
          <w:tblLayout w:type="fixed"/>
          <w:tblCellMar>
            <w:left w:w="0" w:type="dxa"/>
            <w:right w:w="0" w:type="dxa"/>
          </w:tblCellMar>
          <w:tblLook w:val="0000"/>
        </w:tblPrEx>
        <w:trPr>
          <w:trHeight w:val="190"/>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('000 birim)</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74"/>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3"/>
                <w:szCs w:val="23"/>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4"/>
                <w:szCs w:val="24"/>
              </w:rPr>
            </w:pPr>
            <w:r w:rsidRPr="007C5F5A">
              <w:rPr>
                <w:rFonts w:ascii="Arial" w:hAnsi="Arial" w:cs="Arial"/>
                <w:color w:val="1F1A17"/>
                <w:sz w:val="16"/>
                <w:szCs w:val="16"/>
              </w:rPr>
              <w:t>10,000*</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196"/>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color w:val="1F1A17"/>
                <w:w w:val="93"/>
                <w:sz w:val="16"/>
                <w:szCs w:val="16"/>
              </w:rPr>
              <w:t>10,000</w:t>
            </w: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501"/>
        </w:trPr>
        <w:tc>
          <w:tcPr>
            <w:tcW w:w="6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color w:val="1F1A17"/>
                <w:sz w:val="16"/>
                <w:szCs w:val="16"/>
              </w:rPr>
              <w:t>7,500</w:t>
            </w: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 xml:space="preserve">• CAGR </w:t>
            </w:r>
            <w:r w:rsidR="00C83D19">
              <w:rPr>
                <w:rFonts w:ascii="Arial" w:hAnsi="Arial" w:cs="Arial"/>
                <w:color w:val="1F1A17"/>
                <w:sz w:val="16"/>
                <w:szCs w:val="16"/>
              </w:rPr>
              <w:t xml:space="preserve">(Yıllık Bileşik Büyüme Oranı) </w:t>
            </w:r>
            <w:r w:rsidRPr="007C5F5A">
              <w:rPr>
                <w:rFonts w:ascii="Arial" w:hAnsi="Arial" w:cs="Arial"/>
                <w:color w:val="1F1A17"/>
                <w:sz w:val="16"/>
                <w:szCs w:val="16"/>
              </w:rPr>
              <w:t>2008-12: 14%</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130"/>
        </w:trPr>
        <w:tc>
          <w:tcPr>
            <w:tcW w:w="6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84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 xml:space="preserve">• CAGR </w:t>
            </w:r>
            <w:r w:rsidR="00C83D19">
              <w:rPr>
                <w:rFonts w:ascii="Arial" w:hAnsi="Arial" w:cs="Arial"/>
                <w:color w:val="1F1A17"/>
                <w:sz w:val="16"/>
                <w:szCs w:val="16"/>
              </w:rPr>
              <w:t xml:space="preserve">(Yıllık Bileşik Büyüme Oranı) </w:t>
            </w:r>
            <w:r w:rsidRPr="007C5F5A">
              <w:rPr>
                <w:rFonts w:ascii="Arial" w:hAnsi="Arial" w:cs="Arial"/>
                <w:color w:val="1F1A17"/>
                <w:sz w:val="16"/>
                <w:szCs w:val="16"/>
              </w:rPr>
              <w:t>2012-21: 13%*</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105"/>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84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77"/>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5,100*</w:t>
            </w: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11"/>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color w:val="1F1A17"/>
                <w:sz w:val="16"/>
                <w:szCs w:val="16"/>
              </w:rPr>
              <w:t>5,000</w:t>
            </w: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46"/>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8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80"/>
              <w:rPr>
                <w:rFonts w:ascii="Times New Roman" w:hAnsi="Times New Roman"/>
                <w:sz w:val="24"/>
                <w:szCs w:val="24"/>
              </w:rPr>
            </w:pPr>
            <w:r w:rsidRPr="007C5F5A">
              <w:rPr>
                <w:rFonts w:ascii="Arial" w:hAnsi="Arial" w:cs="Arial"/>
                <w:color w:val="1F1A17"/>
                <w:sz w:val="16"/>
                <w:szCs w:val="16"/>
              </w:rPr>
              <w:t>2,987</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60"/>
              <w:jc w:val="right"/>
              <w:rPr>
                <w:rFonts w:ascii="Times New Roman" w:hAnsi="Times New Roman"/>
                <w:sz w:val="24"/>
                <w:szCs w:val="24"/>
              </w:rPr>
            </w:pPr>
            <w:r w:rsidRPr="007C5F5A">
              <w:rPr>
                <w:rFonts w:ascii="Arial" w:hAnsi="Arial" w:cs="Arial"/>
                <w:color w:val="1F1A17"/>
                <w:sz w:val="16"/>
                <w:szCs w:val="16"/>
              </w:rPr>
              <w:t>3,146</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20"/>
              <w:jc w:val="right"/>
              <w:rPr>
                <w:rFonts w:ascii="Times New Roman" w:hAnsi="Times New Roman"/>
                <w:sz w:val="24"/>
                <w:szCs w:val="24"/>
              </w:rPr>
            </w:pPr>
            <w:r w:rsidRPr="007C5F5A">
              <w:rPr>
                <w:rFonts w:ascii="Arial" w:hAnsi="Arial" w:cs="Arial"/>
                <w:color w:val="1F1A17"/>
                <w:sz w:val="16"/>
                <w:szCs w:val="16"/>
              </w:rPr>
              <w:t>3,234</w:t>
            </w: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69"/>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7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0"/>
              <w:jc w:val="right"/>
              <w:rPr>
                <w:rFonts w:ascii="Times New Roman" w:hAnsi="Times New Roman"/>
                <w:sz w:val="24"/>
                <w:szCs w:val="24"/>
              </w:rPr>
            </w:pPr>
            <w:r w:rsidRPr="007C5F5A">
              <w:rPr>
                <w:rFonts w:ascii="Arial" w:hAnsi="Arial" w:cs="Arial"/>
                <w:color w:val="1F1A17"/>
                <w:sz w:val="16"/>
                <w:szCs w:val="16"/>
              </w:rPr>
              <w:t>2,357</w:t>
            </w:r>
          </w:p>
        </w:tc>
        <w:tc>
          <w:tcPr>
            <w:tcW w:w="8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124"/>
        </w:trPr>
        <w:tc>
          <w:tcPr>
            <w:tcW w:w="6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color w:val="1F1A17"/>
                <w:sz w:val="16"/>
                <w:szCs w:val="16"/>
              </w:rPr>
              <w:t>2,500</w:t>
            </w:r>
          </w:p>
        </w:tc>
        <w:tc>
          <w:tcPr>
            <w:tcW w:w="8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20"/>
              <w:jc w:val="right"/>
              <w:rPr>
                <w:rFonts w:ascii="Times New Roman" w:hAnsi="Times New Roman"/>
                <w:sz w:val="24"/>
                <w:szCs w:val="24"/>
              </w:rPr>
            </w:pPr>
            <w:r w:rsidRPr="007C5F5A">
              <w:rPr>
                <w:rFonts w:ascii="Arial" w:hAnsi="Arial" w:cs="Arial"/>
                <w:color w:val="1F1A17"/>
                <w:sz w:val="16"/>
                <w:szCs w:val="16"/>
              </w:rPr>
              <w:t>1,838</w:t>
            </w:r>
          </w:p>
        </w:tc>
        <w:tc>
          <w:tcPr>
            <w:tcW w:w="7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153"/>
        </w:trPr>
        <w:tc>
          <w:tcPr>
            <w:tcW w:w="6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8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772"/>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color w:val="1F1A17"/>
                <w:sz w:val="16"/>
                <w:szCs w:val="16"/>
              </w:rPr>
              <w:t>2008-09</w:t>
            </w: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4"/>
                <w:szCs w:val="24"/>
              </w:rPr>
            </w:pPr>
            <w:r w:rsidRPr="007C5F5A">
              <w:rPr>
                <w:rFonts w:ascii="Arial" w:hAnsi="Arial" w:cs="Arial"/>
                <w:color w:val="1F1A17"/>
                <w:sz w:val="16"/>
                <w:szCs w:val="16"/>
              </w:rPr>
              <w:t>2009-10</w:t>
            </w: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80"/>
              <w:rPr>
                <w:rFonts w:ascii="Times New Roman" w:hAnsi="Times New Roman"/>
                <w:sz w:val="24"/>
                <w:szCs w:val="24"/>
              </w:rPr>
            </w:pPr>
            <w:r w:rsidRPr="007C5F5A">
              <w:rPr>
                <w:rFonts w:ascii="Arial" w:hAnsi="Arial" w:cs="Arial"/>
                <w:color w:val="1F1A17"/>
                <w:w w:val="95"/>
                <w:sz w:val="16"/>
                <w:szCs w:val="16"/>
              </w:rPr>
              <w:t>2010-11</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0"/>
              <w:jc w:val="right"/>
              <w:rPr>
                <w:rFonts w:ascii="Times New Roman" w:hAnsi="Times New Roman"/>
                <w:sz w:val="24"/>
                <w:szCs w:val="24"/>
              </w:rPr>
            </w:pPr>
            <w:r w:rsidRPr="007C5F5A">
              <w:rPr>
                <w:rFonts w:ascii="Arial" w:hAnsi="Arial" w:cs="Arial"/>
                <w:color w:val="1F1A17"/>
                <w:sz w:val="16"/>
                <w:szCs w:val="16"/>
              </w:rPr>
              <w:t>2011-12</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0"/>
              <w:jc w:val="right"/>
              <w:rPr>
                <w:rFonts w:ascii="Times New Roman" w:hAnsi="Times New Roman"/>
                <w:sz w:val="24"/>
                <w:szCs w:val="24"/>
              </w:rPr>
            </w:pPr>
            <w:r w:rsidRPr="007C5F5A">
              <w:rPr>
                <w:rFonts w:ascii="Arial" w:hAnsi="Arial" w:cs="Arial"/>
                <w:color w:val="1F1A17"/>
                <w:w w:val="91"/>
                <w:sz w:val="16"/>
                <w:szCs w:val="16"/>
              </w:rPr>
              <w:t>2012-13</w:t>
            </w: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2015-16</w:t>
            </w: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0"/>
              <w:jc w:val="right"/>
              <w:rPr>
                <w:rFonts w:ascii="Times New Roman" w:hAnsi="Times New Roman"/>
                <w:sz w:val="24"/>
                <w:szCs w:val="24"/>
              </w:rPr>
            </w:pPr>
            <w:r w:rsidRPr="007C5F5A">
              <w:rPr>
                <w:rFonts w:ascii="Arial" w:hAnsi="Arial" w:cs="Arial"/>
                <w:color w:val="1F1A17"/>
                <w:sz w:val="16"/>
                <w:szCs w:val="16"/>
              </w:rPr>
              <w:t>2020-21</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56"/>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rPr>
            </w:pPr>
          </w:p>
        </w:tc>
        <w:tc>
          <w:tcPr>
            <w:tcW w:w="3300" w:type="dxa"/>
            <w:gridSpan w:val="4"/>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i/>
                <w:iCs/>
                <w:color w:val="1F1A17"/>
                <w:sz w:val="16"/>
                <w:szCs w:val="16"/>
              </w:rPr>
              <w:t xml:space="preserve">Finansal yıl için figürler-Nisandan Marta </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960" w:type="dxa"/>
          <w:tblLayout w:type="fixed"/>
          <w:tblCellMar>
            <w:left w:w="0" w:type="dxa"/>
            <w:right w:w="0" w:type="dxa"/>
          </w:tblCellMar>
          <w:tblLook w:val="0000"/>
        </w:tblPrEx>
        <w:trPr>
          <w:trHeight w:val="218"/>
        </w:trPr>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i/>
                <w:iCs/>
                <w:color w:val="1F1A17"/>
                <w:sz w:val="16"/>
                <w:szCs w:val="16"/>
              </w:rPr>
              <w:t>(*Yaklaşık)</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bl>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68"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880350" cy="9446895"/>
            <wp:effectExtent l="0" t="0" r="0" b="0"/>
            <wp:wrapNone/>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9917" name="Picture 155"/>
                    <pic:cNvPicPr>
                      <a:picLocks noChangeAspect="1" noChangeArrowheads="1"/>
                    </pic:cNvPicPr>
                  </pic:nvPicPr>
                  <pic:blipFill>
                    <a:blip xmlns:r="http://schemas.openxmlformats.org/officeDocument/2006/relationships" r:embed="rId1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E960AF">
      <w:pPr>
        <w:widowControl w:val="0"/>
        <w:overflowPunct w:val="0"/>
        <w:autoSpaceDE w:val="0"/>
        <w:autoSpaceDN w:val="0"/>
        <w:adjustRightInd w:val="0"/>
        <w:spacing w:after="0" w:line="279" w:lineRule="auto"/>
        <w:ind w:right="40"/>
        <w:jc w:val="both"/>
        <w:rPr>
          <w:rFonts w:ascii="Times New Roman" w:hAnsi="Times New Roman"/>
          <w:sz w:val="24"/>
          <w:szCs w:val="24"/>
        </w:rPr>
      </w:pPr>
      <w:r w:rsidRPr="007C5F5A">
        <w:rPr>
          <w:rFonts w:ascii="Arial" w:hAnsi="Arial" w:cs="Arial"/>
          <w:color w:val="1F1A17"/>
        </w:rPr>
        <w:t xml:space="preserve">Hindistan Otomobil parça sektörü toplam satışı FY2012–13’te 39.7 milyar ABD dolara </w:t>
      </w:r>
      <w:r w:rsidRPr="007C5F5A" w:rsidR="00493D0A">
        <w:rPr>
          <w:rFonts w:ascii="Arial" w:hAnsi="Arial" w:cs="Arial"/>
          <w:color w:val="1F1A17"/>
        </w:rPr>
        <w:t>yükselmiştir. Bu</w:t>
      </w:r>
      <w:r w:rsidRPr="007C5F5A">
        <w:rPr>
          <w:rFonts w:ascii="Arial" w:hAnsi="Arial" w:cs="Arial"/>
          <w:color w:val="1F1A17"/>
        </w:rPr>
        <w:t xml:space="preserve"> büyümenin, otomobil parça sektörünün 2020/21 döneminde 115 milyar ABD dolarına ulaşarak sağlam şekilde gelecek yıllarda devam etmesi beklenmektedir.</w:t>
      </w:r>
    </w:p>
    <w:p w:rsidR="00A45A05" w:rsidRPr="007C5F5A" w:rsidP="00E960AF">
      <w:pPr>
        <w:widowControl w:val="0"/>
        <w:overflowPunct w:val="0"/>
        <w:autoSpaceDE w:val="0"/>
        <w:autoSpaceDN w:val="0"/>
        <w:adjustRightInd w:val="0"/>
        <w:spacing w:after="0" w:line="277" w:lineRule="auto"/>
        <w:ind w:right="40"/>
        <w:jc w:val="both"/>
        <w:rPr>
          <w:rFonts w:ascii="Times New Roman" w:hAnsi="Times New Roman"/>
          <w:sz w:val="24"/>
          <w:szCs w:val="24"/>
        </w:rPr>
      </w:pPr>
      <w:r w:rsidRPr="007C5F5A">
        <w:rPr>
          <w:rFonts w:ascii="Arial" w:hAnsi="Arial" w:cs="Arial"/>
          <w:color w:val="1F1A17"/>
        </w:rPr>
        <w:t>Büyük sözlerini tutarak, Hindistan otomobil parça ihracatı2008-13 süresince %17 CAGR’a</w:t>
      </w:r>
      <w:r w:rsidR="00C83D19">
        <w:rPr>
          <w:rFonts w:ascii="Arial" w:hAnsi="Arial" w:cs="Arial"/>
          <w:color w:val="1F1A17"/>
        </w:rPr>
        <w:t xml:space="preserve">(Yıllık Bileşik Büyüme Oranı) </w:t>
      </w:r>
      <w:r w:rsidRPr="007C5F5A" w:rsidR="00493D0A">
        <w:rPr>
          <w:rFonts w:ascii="Arial" w:hAnsi="Arial" w:cs="Arial"/>
          <w:color w:val="1F1A17"/>
        </w:rPr>
        <w:t>artmış; 2012</w:t>
      </w:r>
      <w:r w:rsidRPr="007C5F5A">
        <w:rPr>
          <w:rFonts w:ascii="Arial" w:hAnsi="Arial" w:cs="Arial"/>
          <w:color w:val="1F1A17"/>
        </w:rPr>
        <w:t xml:space="preserve">-13 yılında ihracat </w:t>
      </w:r>
      <w:r w:rsidRPr="007C5F5A" w:rsidR="00493D0A">
        <w:rPr>
          <w:rFonts w:ascii="Arial" w:hAnsi="Arial" w:cs="Arial"/>
          <w:color w:val="1F1A17"/>
        </w:rPr>
        <w:t>9,7</w:t>
      </w:r>
      <w:r w:rsidRPr="007C5F5A">
        <w:rPr>
          <w:rFonts w:ascii="Arial" w:hAnsi="Arial" w:cs="Arial"/>
          <w:color w:val="1F1A17"/>
        </w:rPr>
        <w:t xml:space="preserve"> milyar ABD dolarına kadar artmıştır.  Hindistan, oto parçalarının küresel kaynağı olmaya başlamıştır. Rekabetçilerine göre, Hindistan coğrafik olarak ASEAN, Japonya, Kore&amp;Avrupa gibi anahtar otomotiv pazarlarına daha yakındır.</w:t>
      </w:r>
    </w:p>
    <w:p w:rsidR="00A45A05" w:rsidRPr="007C5F5A" w:rsidP="00A45A05">
      <w:pPr>
        <w:widowControl w:val="0"/>
        <w:overflowPunct w:val="0"/>
        <w:autoSpaceDE w:val="0"/>
        <w:autoSpaceDN w:val="0"/>
        <w:adjustRightInd w:val="0"/>
        <w:spacing w:after="0" w:line="277" w:lineRule="auto"/>
        <w:ind w:right="40"/>
        <w:jc w:val="both"/>
        <w:rPr>
          <w:rFonts w:ascii="Times New Roman" w:hAnsi="Times New Roman"/>
          <w:sz w:val="24"/>
          <w:szCs w:val="24"/>
        </w:rPr>
      </w:pPr>
      <w:r w:rsidRPr="007C5F5A">
        <w:rPr>
          <w:rFonts w:ascii="Arial" w:hAnsi="Arial" w:cs="Arial"/>
          <w:color w:val="1F1A17"/>
        </w:rPr>
        <w:t xml:space="preserve">Sektörün büyümesini sağlayan anahtar faktörlerden biri, Avrupa ve Latin Amerika ile karşılıklı </w:t>
      </w:r>
      <w:r w:rsidRPr="007C5F5A" w:rsidR="00493D0A">
        <w:rPr>
          <w:rFonts w:ascii="Arial" w:hAnsi="Arial" w:cs="Arial"/>
          <w:color w:val="1F1A17"/>
        </w:rPr>
        <w:t>olarak beğenilen</w:t>
      </w:r>
      <w:r w:rsidRPr="007C5F5A">
        <w:rPr>
          <w:rFonts w:ascii="Arial" w:hAnsi="Arial" w:cs="Arial"/>
          <w:color w:val="1F1A17"/>
        </w:rPr>
        <w:t xml:space="preserve"> maliyet avantajıdır. Bir diğer faktör ise Hindistan’ın dünyada çelik üretiminde 4. Sırada olması ve ucuza maliyet etmesi vardır; Ülkenin 2015 yılında ikinci büyük çelik üreticisi olacağı düşünülmektedir. Büyük küresel OEMler</w:t>
      </w:r>
      <w:r w:rsidR="00E960AF">
        <w:rPr>
          <w:rFonts w:ascii="Arial" w:hAnsi="Arial" w:cs="Arial"/>
          <w:color w:val="1F1A17"/>
        </w:rPr>
        <w:t xml:space="preserve">(Orijinal Ekipman Üreticisi) </w:t>
      </w:r>
      <w:r w:rsidRPr="007C5F5A">
        <w:rPr>
          <w:rFonts w:ascii="Arial" w:hAnsi="Arial" w:cs="Arial"/>
          <w:color w:val="1F1A17"/>
        </w:rPr>
        <w:t>küresel işlemleri Gelecek potansiyeli ile yükselen, için Hindistan’ı parça kaynak merkezi haline getirmeyi planlamaktadır.</w:t>
      </w:r>
    </w:p>
    <w:p w:rsidR="00A45A05" w:rsidRPr="007C5F5A" w:rsidP="00A45A05">
      <w:pPr>
        <w:widowControl w:val="0"/>
        <w:autoSpaceDE w:val="0"/>
        <w:autoSpaceDN w:val="0"/>
        <w:adjustRightInd w:val="0"/>
        <w:spacing w:after="0" w:line="197"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 xml:space="preserve">Hindistan’ da ki Otomotiv Grupları </w:t>
      </w:r>
    </w:p>
    <w:p w:rsidR="00A45A05" w:rsidRPr="007C5F5A" w:rsidP="00A45A05">
      <w:pPr>
        <w:widowControl w:val="0"/>
        <w:autoSpaceDE w:val="0"/>
        <w:autoSpaceDN w:val="0"/>
        <w:adjustRightInd w:val="0"/>
        <w:spacing w:after="0" w:line="379" w:lineRule="exact"/>
        <w:rPr>
          <w:rFonts w:ascii="Times New Roman" w:hAnsi="Times New Roman"/>
          <w:sz w:val="24"/>
          <w:szCs w:val="24"/>
        </w:rPr>
      </w:pPr>
    </w:p>
    <w:tbl>
      <w:tblPr>
        <w:tblW w:w="0" w:type="auto"/>
        <w:tblLayout w:type="fixed"/>
        <w:tblCellMar>
          <w:left w:w="0" w:type="dxa"/>
          <w:right w:w="0" w:type="dxa"/>
        </w:tblCellMar>
        <w:tblLook w:val="0000"/>
      </w:tblPr>
      <w:tblGrid>
        <w:gridCol w:w="1360"/>
        <w:gridCol w:w="540"/>
        <w:gridCol w:w="680"/>
        <w:gridCol w:w="340"/>
        <w:gridCol w:w="680"/>
        <w:gridCol w:w="300"/>
        <w:gridCol w:w="660"/>
        <w:gridCol w:w="400"/>
        <w:gridCol w:w="680"/>
        <w:gridCol w:w="200"/>
        <w:gridCol w:w="1500"/>
        <w:gridCol w:w="20"/>
      </w:tblGrid>
      <w:tr w:rsidTr="00BE30FE">
        <w:tblPrEx>
          <w:tblW w:w="0" w:type="auto"/>
          <w:tblLayout w:type="fixed"/>
          <w:tblCellMar>
            <w:left w:w="0" w:type="dxa"/>
            <w:right w:w="0" w:type="dxa"/>
          </w:tblCellMar>
          <w:tblLook w:val="0000"/>
        </w:tblPrEx>
        <w:trPr>
          <w:trHeight w:val="190"/>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Eicher</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Maruti Suzuki</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93"/>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Escorts</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New Holland</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93"/>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HeroMotoCorp</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Mahindra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226"/>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Honda Motorcycle</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Suzuki Motorcycles</w:t>
            </w:r>
          </w:p>
        </w:tc>
        <w:tc>
          <w:tcPr>
            <w:tcW w:w="680" w:type="dxa"/>
            <w:tcBorders>
              <w:top w:val="nil"/>
              <w:left w:val="nil"/>
              <w:bottom w:val="single" w:sz="8" w:space="0" w:color="94D1F5"/>
              <w:right w:val="nil"/>
            </w:tcBorders>
            <w:shd w:val="clear" w:color="auto" w:fill="94D1F5"/>
            <w:vAlign w:val="bottom"/>
          </w:tcPr>
          <w:p w:rsidR="00A45A05" w:rsidRPr="007C5F5A" w:rsidP="00BE30FE">
            <w:pPr>
              <w:widowControl w:val="0"/>
              <w:autoSpaceDE w:val="0"/>
              <w:autoSpaceDN w:val="0"/>
              <w:adjustRightInd w:val="0"/>
              <w:spacing w:after="0" w:line="203" w:lineRule="exact"/>
              <w:ind w:left="80"/>
              <w:rPr>
                <w:rFonts w:ascii="Times New Roman" w:hAnsi="Times New Roman"/>
                <w:sz w:val="24"/>
                <w:szCs w:val="24"/>
              </w:rPr>
            </w:pPr>
            <w:r w:rsidRPr="007C5F5A">
              <w:rPr>
                <w:rFonts w:ascii="Arial" w:hAnsi="Arial" w:cs="Arial"/>
                <w:b/>
                <w:bCs/>
                <w:color w:val="1F1A17"/>
                <w:sz w:val="20"/>
                <w:szCs w:val="20"/>
              </w:rPr>
              <w:t>Kuzey</w:t>
            </w: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43"/>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143" w:lineRule="exact"/>
              <w:rPr>
                <w:rFonts w:ascii="Times New Roman" w:hAnsi="Times New Roman"/>
                <w:sz w:val="24"/>
                <w:szCs w:val="24"/>
              </w:rPr>
            </w:pPr>
            <w:r w:rsidRPr="007C5F5A">
              <w:rPr>
                <w:rFonts w:ascii="Arial" w:hAnsi="Arial" w:cs="Arial"/>
                <w:color w:val="1F1A17"/>
                <w:sz w:val="16"/>
                <w:szCs w:val="16"/>
              </w:rPr>
              <w:t>Honda SIELCars</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143" w:lineRule="exact"/>
              <w:ind w:left="80"/>
              <w:rPr>
                <w:rFonts w:ascii="Times New Roman" w:hAnsi="Times New Roman"/>
                <w:sz w:val="24"/>
                <w:szCs w:val="24"/>
              </w:rPr>
            </w:pPr>
            <w:r w:rsidRPr="007C5F5A">
              <w:rPr>
                <w:rFonts w:ascii="Arial" w:hAnsi="Arial" w:cs="Arial"/>
                <w:color w:val="1F1A17"/>
                <w:sz w:val="16"/>
                <w:szCs w:val="16"/>
              </w:rPr>
              <w:t>Swaraj Mazda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90"/>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ICML</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TataMotors</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93"/>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JCB</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Yamaha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23"/>
        </w:trPr>
        <w:tc>
          <w:tcPr>
            <w:tcW w:w="2920" w:type="dxa"/>
            <w:gridSpan w:val="4"/>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*New Hub: Sanand</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color w:val="1F1A17"/>
                <w:sz w:val="16"/>
                <w:szCs w:val="16"/>
              </w:rPr>
              <w:t>Hindi</w:t>
            </w:r>
            <w:r w:rsidRPr="007C5F5A">
              <w:rPr>
                <w:rFonts w:ascii="Arial" w:hAnsi="Arial" w:cs="Arial"/>
                <w:color w:val="1F1A17"/>
                <w:sz w:val="16"/>
                <w:szCs w:val="16"/>
              </w:rPr>
              <w:t>stan Motors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44"/>
        </w:trPr>
        <w:tc>
          <w:tcPr>
            <w:tcW w:w="2920" w:type="dxa"/>
            <w:gridSpan w:val="4"/>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TataMotors, Maruti, Ford India,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46"/>
        </w:trPr>
        <w:tc>
          <w:tcPr>
            <w:tcW w:w="2920" w:type="dxa"/>
            <w:gridSpan w:val="4"/>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680" w:type="dxa"/>
            <w:vMerge w:val="restart"/>
            <w:tcBorders>
              <w:top w:val="nil"/>
              <w:left w:val="nil"/>
              <w:bottom w:val="nil"/>
              <w:right w:val="nil"/>
            </w:tcBorders>
            <w:shd w:val="clear" w:color="auto" w:fill="94D1F5"/>
            <w:vAlign w:val="bottom"/>
          </w:tcPr>
          <w:p w:rsidR="00A45A05" w:rsidRPr="007C5F5A" w:rsidP="00BE30FE">
            <w:pPr>
              <w:widowControl w:val="0"/>
              <w:autoSpaceDE w:val="0"/>
              <w:autoSpaceDN w:val="0"/>
              <w:adjustRightInd w:val="0"/>
              <w:spacing w:after="0" w:line="210" w:lineRule="exact"/>
              <w:ind w:left="140"/>
              <w:rPr>
                <w:rFonts w:ascii="Times New Roman" w:hAnsi="Times New Roman"/>
                <w:sz w:val="24"/>
                <w:szCs w:val="24"/>
              </w:rPr>
            </w:pPr>
            <w:r w:rsidRPr="007C5F5A">
              <w:rPr>
                <w:rFonts w:ascii="Arial" w:hAnsi="Arial" w:cs="Arial"/>
                <w:b/>
                <w:bCs/>
                <w:color w:val="1F1A17"/>
                <w:sz w:val="20"/>
                <w:szCs w:val="20"/>
              </w:rPr>
              <w:t>Doğu</w:t>
            </w: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65"/>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single" w:sz="8" w:space="0" w:color="94D1F5"/>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680" w:type="dxa"/>
            <w:vMerge/>
            <w:tcBorders>
              <w:top w:val="nil"/>
              <w:left w:val="nil"/>
              <w:bottom w:val="single" w:sz="8" w:space="0" w:color="94D1F5"/>
              <w:right w:val="nil"/>
            </w:tcBorders>
            <w:shd w:val="clear" w:color="auto" w:fill="94D1F5"/>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207"/>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nil"/>
              <w:right w:val="nil"/>
            </w:tcBorders>
            <w:shd w:val="clear" w:color="auto" w:fill="94D1F5"/>
            <w:vAlign w:val="bottom"/>
          </w:tcPr>
          <w:p w:rsidR="00A45A05" w:rsidRPr="007C5F5A" w:rsidP="00BE30FE">
            <w:pPr>
              <w:widowControl w:val="0"/>
              <w:autoSpaceDE w:val="0"/>
              <w:autoSpaceDN w:val="0"/>
              <w:adjustRightInd w:val="0"/>
              <w:spacing w:after="0" w:line="206" w:lineRule="exact"/>
              <w:ind w:left="100"/>
              <w:rPr>
                <w:rFonts w:ascii="Times New Roman" w:hAnsi="Times New Roman"/>
                <w:sz w:val="24"/>
                <w:szCs w:val="24"/>
              </w:rPr>
            </w:pPr>
            <w:r w:rsidRPr="007C5F5A">
              <w:rPr>
                <w:rFonts w:ascii="Arial" w:hAnsi="Arial" w:cs="Arial"/>
                <w:b/>
                <w:bCs/>
                <w:color w:val="1F1A17"/>
                <w:sz w:val="20"/>
                <w:szCs w:val="20"/>
              </w:rPr>
              <w:t>Batı</w:t>
            </w:r>
          </w:p>
        </w:tc>
        <w:tc>
          <w:tcPr>
            <w:tcW w:w="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w w:val="97"/>
                <w:sz w:val="16"/>
                <w:szCs w:val="16"/>
              </w:rPr>
              <w:t>AshokLeyland</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Renault</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329"/>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Bajaj Auto</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Man Force</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sz w:val="16"/>
                <w:szCs w:val="16"/>
              </w:rPr>
              <w:t>BMW</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ROyalEnfield</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5"/>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156" w:lineRule="exact"/>
              <w:rPr>
                <w:rFonts w:ascii="Times New Roman" w:hAnsi="Times New Roman"/>
                <w:sz w:val="24"/>
                <w:szCs w:val="24"/>
              </w:rPr>
            </w:pPr>
            <w:r w:rsidRPr="007C5F5A">
              <w:rPr>
                <w:rFonts w:ascii="Arial" w:hAnsi="Arial" w:cs="Arial"/>
                <w:color w:val="1F1A17"/>
                <w:sz w:val="16"/>
                <w:szCs w:val="16"/>
              </w:rPr>
              <w:t>Flat</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156" w:lineRule="exact"/>
              <w:ind w:left="80"/>
              <w:rPr>
                <w:rFonts w:ascii="Times New Roman" w:hAnsi="Times New Roman"/>
                <w:sz w:val="24"/>
                <w:szCs w:val="24"/>
              </w:rPr>
            </w:pPr>
            <w:r w:rsidRPr="007C5F5A">
              <w:rPr>
                <w:rFonts w:ascii="Arial" w:hAnsi="Arial" w:cs="Arial"/>
                <w:color w:val="1F1A17"/>
                <w:sz w:val="16"/>
                <w:szCs w:val="16"/>
              </w:rPr>
              <w:t>Marcedes Benz</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1"/>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sz w:val="16"/>
                <w:szCs w:val="16"/>
              </w:rPr>
              <w:t>Caterpiller</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SameDeutz</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207"/>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Force Mators</w:t>
            </w:r>
          </w:p>
        </w:tc>
        <w:tc>
          <w:tcPr>
            <w:tcW w:w="156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PSA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94D1F5"/>
              <w:right w:val="nil"/>
            </w:tcBorders>
            <w:shd w:val="clear" w:color="auto" w:fill="94D1F5"/>
            <w:vAlign w:val="bottom"/>
          </w:tcPr>
          <w:p w:rsidR="00A45A05" w:rsidRPr="007C5F5A" w:rsidP="00BE30FE">
            <w:pPr>
              <w:widowControl w:val="0"/>
              <w:autoSpaceDE w:val="0"/>
              <w:autoSpaceDN w:val="0"/>
              <w:adjustRightInd w:val="0"/>
              <w:spacing w:after="0" w:line="192" w:lineRule="exact"/>
              <w:ind w:left="60"/>
              <w:rPr>
                <w:rFonts w:ascii="Times New Roman" w:hAnsi="Times New Roman"/>
                <w:sz w:val="24"/>
                <w:szCs w:val="24"/>
              </w:rPr>
            </w:pPr>
            <w:r w:rsidRPr="007C5F5A">
              <w:rPr>
                <w:rFonts w:ascii="Arial" w:hAnsi="Arial" w:cs="Arial"/>
                <w:b/>
                <w:bCs/>
                <w:color w:val="1F1A17"/>
                <w:sz w:val="20"/>
                <w:szCs w:val="20"/>
              </w:rPr>
              <w:t>Güney</w:t>
            </w: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12"/>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GM</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Skoda</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280" w:type="dxa"/>
            <w:gridSpan w:val="3"/>
            <w:tcBorders>
              <w:top w:val="nil"/>
              <w:left w:val="nil"/>
              <w:bottom w:val="nil"/>
              <w:right w:val="nil"/>
            </w:tcBorders>
            <w:vAlign w:val="bottom"/>
          </w:tcPr>
          <w:p w:rsidR="00A45A05" w:rsidRPr="007C5F5A" w:rsidP="00BE30FE">
            <w:pPr>
              <w:widowControl w:val="0"/>
              <w:autoSpaceDE w:val="0"/>
              <w:autoSpaceDN w:val="0"/>
              <w:adjustRightInd w:val="0"/>
              <w:spacing w:after="0" w:line="112" w:lineRule="exact"/>
              <w:ind w:left="240"/>
              <w:rPr>
                <w:rFonts w:ascii="Times New Roman" w:hAnsi="Times New Roman"/>
                <w:sz w:val="24"/>
                <w:szCs w:val="24"/>
              </w:rPr>
            </w:pPr>
            <w:r w:rsidRPr="007C5F5A">
              <w:rPr>
                <w:rFonts w:ascii="Arial" w:hAnsi="Arial" w:cs="Arial"/>
                <w:color w:val="1F1A17"/>
                <w:sz w:val="12"/>
                <w:szCs w:val="12"/>
              </w:rPr>
              <w:t>Daimler</w:t>
            </w: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112" w:lineRule="exact"/>
              <w:ind w:left="400"/>
              <w:rPr>
                <w:rFonts w:ascii="Times New Roman" w:hAnsi="Times New Roman"/>
                <w:sz w:val="24"/>
                <w:szCs w:val="24"/>
              </w:rPr>
            </w:pPr>
            <w:r w:rsidRPr="007C5F5A">
              <w:rPr>
                <w:rFonts w:ascii="Arial" w:hAnsi="Arial" w:cs="Arial"/>
                <w:color w:val="1F1A17"/>
                <w:sz w:val="12"/>
                <w:szCs w:val="12"/>
              </w:rPr>
              <w:t>TAFE</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5"/>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sz w:val="16"/>
                <w:szCs w:val="16"/>
              </w:rPr>
              <w:t>Ford</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TataMotors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5"/>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John Deere</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TataHitachi</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780" w:type="dxa"/>
            <w:gridSpan w:val="4"/>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color w:val="1F1A17"/>
                <w:sz w:val="16"/>
                <w:szCs w:val="16"/>
              </w:rPr>
              <w:t>Hindistan Motors</w:t>
            </w:r>
            <w:r w:rsidRPr="007C5F5A">
              <w:rPr>
                <w:rFonts w:ascii="Arial" w:hAnsi="Arial" w:cs="Arial"/>
                <w:color w:val="1F1A17"/>
                <w:sz w:val="16"/>
                <w:szCs w:val="16"/>
              </w:rPr>
              <w:t>Toyota Kirloskar</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5"/>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Mahindra</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TataMotors</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780" w:type="dxa"/>
            <w:gridSpan w:val="4"/>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sz w:val="16"/>
                <w:szCs w:val="16"/>
              </w:rPr>
              <w:t>Hyundai</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TVS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5"/>
        </w:trPr>
        <w:tc>
          <w:tcPr>
            <w:tcW w:w="13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MahindraNavistar</w:t>
            </w: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Volkswagen</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13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28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40"/>
              <w:rPr>
                <w:rFonts w:ascii="Times New Roman" w:hAnsi="Times New Roman"/>
                <w:sz w:val="24"/>
                <w:szCs w:val="24"/>
              </w:rPr>
            </w:pPr>
            <w:r w:rsidRPr="007C5F5A">
              <w:rPr>
                <w:rFonts w:ascii="Arial" w:hAnsi="Arial" w:cs="Arial"/>
                <w:color w:val="1F1A17"/>
                <w:sz w:val="16"/>
                <w:szCs w:val="16"/>
              </w:rPr>
              <w:t>Nissan</w:t>
            </w:r>
          </w:p>
        </w:tc>
        <w:tc>
          <w:tcPr>
            <w:tcW w:w="15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00"/>
              <w:rPr>
                <w:rFonts w:ascii="Times New Roman" w:hAnsi="Times New Roman"/>
                <w:sz w:val="24"/>
                <w:szCs w:val="24"/>
              </w:rPr>
            </w:pPr>
            <w:r w:rsidRPr="007C5F5A">
              <w:rPr>
                <w:rFonts w:ascii="Arial" w:hAnsi="Arial" w:cs="Arial"/>
                <w:color w:val="1F1A17"/>
                <w:sz w:val="16"/>
                <w:szCs w:val="16"/>
              </w:rPr>
              <w:t>VOlvoBuses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5"/>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6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Volvo Eicher</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28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13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6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5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bl>
    <w:p w:rsidR="00A45A05" w:rsidRPr="007C5F5A" w:rsidP="00A45A05">
      <w:pPr>
        <w:widowControl w:val="0"/>
        <w:autoSpaceDE w:val="0"/>
        <w:autoSpaceDN w:val="0"/>
        <w:adjustRightInd w:val="0"/>
        <w:spacing w:after="0" w:line="1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6360"/>
        <w:rPr>
          <w:rFonts w:ascii="Times New Roman" w:hAnsi="Times New Roman"/>
          <w:sz w:val="24"/>
          <w:szCs w:val="24"/>
        </w:rPr>
      </w:pPr>
      <w:r w:rsidRPr="007C5F5A">
        <w:rPr>
          <w:rFonts w:ascii="Arial" w:hAnsi="Arial" w:cs="Arial"/>
          <w:i/>
          <w:iCs/>
          <w:color w:val="1F1A17"/>
          <w:sz w:val="16"/>
          <w:szCs w:val="16"/>
        </w:rPr>
        <w:t>(IllustrativeList)</w:t>
      </w:r>
    </w:p>
    <w:p w:rsidR="00A45A05" w:rsidRPr="007C5F5A" w:rsidP="00A45A05">
      <w:pPr>
        <w:widowControl w:val="0"/>
        <w:autoSpaceDE w:val="0"/>
        <w:autoSpaceDN w:val="0"/>
        <w:adjustRightInd w:val="0"/>
        <w:spacing w:after="0" w:line="106" w:lineRule="exact"/>
        <w:rPr>
          <w:rFonts w:ascii="Times New Roman" w:hAnsi="Times New Roman"/>
          <w:sz w:val="24"/>
          <w:szCs w:val="24"/>
        </w:rPr>
      </w:pPr>
    </w:p>
    <w:p w:rsidR="00E960AF" w:rsidP="00E960AF">
      <w:pPr>
        <w:widowControl w:val="0"/>
        <w:autoSpaceDE w:val="0"/>
        <w:autoSpaceDN w:val="0"/>
        <w:adjustRightInd w:val="0"/>
        <w:spacing w:after="0" w:line="240" w:lineRule="auto"/>
        <w:ind w:left="1040"/>
        <w:rPr>
          <w:rFonts w:ascii="Arial" w:hAnsi="Arial" w:cs="Arial"/>
          <w:b/>
          <w:bCs/>
          <w:color w:val="1F1A17"/>
        </w:rPr>
      </w:pPr>
      <w:r w:rsidRPr="007C5F5A">
        <w:rPr>
          <w:rFonts w:ascii="Arial" w:hAnsi="Arial" w:cs="Arial"/>
          <w:b/>
          <w:bCs/>
          <w:color w:val="1F1A17"/>
        </w:rPr>
        <w:t xml:space="preserve">OEM </w:t>
      </w:r>
      <w:r>
        <w:rPr>
          <w:rFonts w:ascii="Arial" w:hAnsi="Arial" w:cs="Arial"/>
          <w:b/>
          <w:bCs/>
          <w:color w:val="1F1A17"/>
        </w:rPr>
        <w:t xml:space="preserve">(orijinal Ekipman Üreticisi) </w:t>
      </w:r>
      <w:r w:rsidRPr="007C5F5A">
        <w:rPr>
          <w:rFonts w:ascii="Arial" w:hAnsi="Arial" w:cs="Arial"/>
          <w:b/>
          <w:bCs/>
          <w:color w:val="1F1A17"/>
        </w:rPr>
        <w:t>Hindistan&amp;</w:t>
      </w:r>
      <w:r w:rsidRPr="007C5F5A" w:rsidR="00493D0A">
        <w:rPr>
          <w:rFonts w:ascii="Arial" w:hAnsi="Arial" w:cs="Arial"/>
          <w:b/>
          <w:bCs/>
          <w:color w:val="1F1A17"/>
        </w:rPr>
        <w:t>Küresel ÖnemliÜretim</w:t>
      </w:r>
      <w:r w:rsidRPr="007C5F5A">
        <w:rPr>
          <w:rFonts w:ascii="Arial" w:hAnsi="Arial" w:cs="Arial"/>
          <w:b/>
          <w:bCs/>
          <w:color w:val="1F1A17"/>
        </w:rPr>
        <w:t xml:space="preserve"> Üsleri</w:t>
      </w:r>
    </w:p>
    <w:p w:rsidR="00A45A05" w:rsidRPr="007C5F5A" w:rsidP="00E960AF">
      <w:pPr>
        <w:widowControl w:val="0"/>
        <w:autoSpaceDE w:val="0"/>
        <w:autoSpaceDN w:val="0"/>
        <w:adjustRightInd w:val="0"/>
        <w:spacing w:after="0" w:line="240" w:lineRule="auto"/>
        <w:ind w:left="1040"/>
        <w:rPr>
          <w:rFonts w:ascii="Times New Roman" w:hAnsi="Times New Roman"/>
          <w:sz w:val="24"/>
          <w:szCs w:val="24"/>
        </w:rPr>
        <w:sectPr>
          <w:pgSz w:w="12420" w:h="16180"/>
          <w:pgMar w:top="1440" w:right="1080" w:bottom="320" w:left="3380" w:header="708" w:footer="708" w:gutter="0"/>
          <w:cols w:space="708" w:equalWidth="0">
            <w:col w:w="7960"/>
          </w:cols>
          <w:noEndnote/>
        </w:sectPr>
      </w:pPr>
      <w:r w:rsidRPr="007C5F5A">
        <w:rPr>
          <w:rFonts w:ascii="Arial" w:hAnsi="Arial" w:cs="Arial"/>
          <w:color w:val="1F1A17"/>
        </w:rPr>
        <w:t xml:space="preserve">Büyüyen çalışan nüfusu ve genişleyen orta sınıfın ana talep edici sürücüler halinde kalacağı var sayılmaktadır. Güçlü bir eğitim sistemi arasındaki yüksek donanımlı ve yarı donanımlı çalışma </w:t>
      </w:r>
      <w:r w:rsidRPr="007C5F5A" w:rsidR="00493D0A">
        <w:rPr>
          <w:rFonts w:ascii="Arial" w:hAnsi="Arial" w:cs="Arial"/>
          <w:color w:val="1F1A17"/>
        </w:rPr>
        <w:t>gücü, gelecek</w:t>
      </w:r>
      <w:r w:rsidRPr="007C5F5A">
        <w:rPr>
          <w:rFonts w:ascii="Arial" w:hAnsi="Arial" w:cs="Arial"/>
          <w:color w:val="1F1A17"/>
        </w:rPr>
        <w:t xml:space="preserve"> yıllardaki etkileyici büyüme loguna gerekli destek ihtiyacını arttıracaktır. Analiz, simülasyon ve mühendislik animasyonları gibi hareke</w:t>
      </w:r>
      <w:r w:rsidR="00E960AF">
        <w:rPr>
          <w:rFonts w:ascii="Arial" w:hAnsi="Arial" w:cs="Arial"/>
          <w:color w:val="1F1A17"/>
        </w:rPr>
        <w:t>tleri yönetmek adına kurulan Ar-Ge</w:t>
      </w:r>
      <w:r w:rsidRPr="007C5F5A">
        <w:rPr>
          <w:rFonts w:ascii="Arial" w:hAnsi="Arial" w:cs="Arial"/>
          <w:color w:val="1F1A17"/>
        </w:rPr>
        <w:t xml:space="preserve"> işlem ve laboratuarlarına yapılan yatırımlar artmaktadır. </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w:t>
      </w:r>
      <w:r w:rsidRPr="007C5F5A">
        <w:rPr>
          <w:rFonts w:ascii="Arial" w:hAnsi="Arial" w:cs="Arial"/>
          <w:color w:val="1F1A17"/>
          <w:sz w:val="17"/>
          <w:szCs w:val="17"/>
        </w:rPr>
        <w:t xml:space="preserve">:Gelecek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0768" behindDoc="1" locked="0" layoutInCell="0" allowOverlap="1">
            <wp:simplePos x="0" y="0"/>
            <wp:positionH relativeFrom="page">
              <wp:posOffset>-76200</wp:posOffset>
            </wp:positionH>
            <wp:positionV relativeFrom="page">
              <wp:posOffset>412750</wp:posOffset>
            </wp:positionV>
            <wp:extent cx="7880350" cy="9890125"/>
            <wp:effectExtent l="0" t="0" r="0" b="0"/>
            <wp:wrapNone/>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4777" name="Picture 156"/>
                    <pic:cNvPicPr>
                      <a:picLocks noChangeAspect="1" noChangeArrowheads="1"/>
                    </pic:cNvPicPr>
                  </pic:nvPicPr>
                  <pic:blipFill>
                    <a:blip xmlns:r="http://schemas.openxmlformats.org/officeDocument/2006/relationships" r:embed="rId1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012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Motorlu araç sektöründeki ÖTV’lerin azaltılması, oto bileşenlerine olan talebi teşvik edecektir. Bazı küresel </w:t>
      </w:r>
      <w:r w:rsidRPr="007C5F5A" w:rsidR="00493D0A">
        <w:rPr>
          <w:rFonts w:ascii="Arial" w:hAnsi="Arial" w:cs="Arial"/>
          <w:color w:val="1F1A17"/>
        </w:rPr>
        <w:t>Tire</w:t>
      </w:r>
      <w:r w:rsidRPr="007C5F5A">
        <w:rPr>
          <w:rFonts w:ascii="Arial" w:hAnsi="Arial" w:cs="Arial"/>
          <w:color w:val="1F1A17"/>
        </w:rPr>
        <w:t>-</w:t>
      </w:r>
      <w:r w:rsidRPr="007C5F5A" w:rsidR="00493D0A">
        <w:rPr>
          <w:rFonts w:ascii="Arial" w:hAnsi="Arial" w:cs="Arial"/>
          <w:color w:val="1F1A17"/>
        </w:rPr>
        <w:t>I tedarikçileri</w:t>
      </w:r>
      <w:r w:rsidRPr="007C5F5A">
        <w:rPr>
          <w:rFonts w:ascii="Arial" w:hAnsi="Arial" w:cs="Arial"/>
          <w:color w:val="1F1A17"/>
        </w:rPr>
        <w:t xml:space="preserve"> Hintli bağlı ortaklarından gerçekleştirdikleri satın alımı arttırmayı planladıklarını duyurmuştur.</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Hindistan’da ki</w:t>
      </w:r>
      <w:r w:rsidRPr="007C5F5A">
        <w:rPr>
          <w:rFonts w:ascii="Arial" w:hAnsi="Arial" w:cs="Arial"/>
          <w:color w:val="1F1A17"/>
        </w:rPr>
        <w:t xml:space="preserve"> küresel OEM </w:t>
      </w:r>
      <w:r w:rsidR="00E960AF">
        <w:rPr>
          <w:rFonts w:ascii="Arial" w:hAnsi="Arial" w:cs="Arial"/>
          <w:color w:val="1F1A17"/>
        </w:rPr>
        <w:t xml:space="preserve">(Orijinal Ekipman Üreticisi) </w:t>
      </w:r>
      <w:r w:rsidRPr="007C5F5A">
        <w:rPr>
          <w:rFonts w:ascii="Arial" w:hAnsi="Arial" w:cs="Arial"/>
          <w:color w:val="1F1A17"/>
        </w:rPr>
        <w:t>kaynak kullanımının artması ve küresel OEMlerin</w:t>
      </w:r>
      <w:r>
        <w:rPr>
          <w:rFonts w:ascii="Arial" w:hAnsi="Arial" w:cs="Arial"/>
          <w:color w:val="1F1A17"/>
        </w:rPr>
        <w:t xml:space="preserve"> yerelleşme artışı ülkeyi</w:t>
      </w:r>
      <w:r w:rsidRPr="007C5F5A">
        <w:rPr>
          <w:rFonts w:ascii="Arial" w:hAnsi="Arial" w:cs="Arial"/>
          <w:color w:val="1F1A17"/>
        </w:rPr>
        <w:t xml:space="preserve"> tercih edilen bir tasarım ve üretim kaynağı haline getirmektedir.  Yatırım olanakları motor ve motor parçalarında da oluşmaya başlamaktadır.Küresel markaların girişi ilevites,</w:t>
      </w:r>
      <w:r>
        <w:rPr>
          <w:rFonts w:ascii="Arial" w:hAnsi="Arial" w:cs="Arial"/>
          <w:color w:val="1F1A17"/>
        </w:rPr>
        <w:t xml:space="preserve"> debriyaj, hava yastıkları gibi</w:t>
      </w:r>
      <w:r w:rsidRPr="007C5F5A">
        <w:rPr>
          <w:rFonts w:ascii="Arial" w:hAnsi="Arial" w:cs="Arial"/>
          <w:color w:val="1F1A17"/>
        </w:rPr>
        <w:t xml:space="preserve"> alt bölümlerdeki rekabetin kuvvetleneceği tahmin edilmektedir. </w:t>
      </w:r>
    </w:p>
    <w:p w:rsidR="00A45A05" w:rsidRPr="007C5F5A" w:rsidP="00A45A05">
      <w:pPr>
        <w:widowControl w:val="0"/>
        <w:autoSpaceDE w:val="0"/>
        <w:autoSpaceDN w:val="0"/>
        <w:adjustRightInd w:val="0"/>
        <w:spacing w:after="0" w:line="21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 xml:space="preserve">Küresel OEMLERİN </w:t>
      </w:r>
      <w:r w:rsidR="00E960AF">
        <w:rPr>
          <w:rFonts w:ascii="Arial" w:hAnsi="Arial" w:cs="Arial"/>
          <w:b/>
          <w:bCs/>
          <w:color w:val="E87817"/>
        </w:rPr>
        <w:t xml:space="preserve">(Orijinal Ekipman Üreticileri) </w:t>
      </w:r>
      <w:r>
        <w:rPr>
          <w:rFonts w:ascii="Arial" w:hAnsi="Arial" w:cs="Arial"/>
          <w:b/>
          <w:bCs/>
          <w:color w:val="E87817"/>
        </w:rPr>
        <w:t xml:space="preserve">HIZLI GELİŞEN </w:t>
      </w:r>
      <w:r w:rsidRPr="007C5F5A">
        <w:rPr>
          <w:rFonts w:ascii="Arial" w:hAnsi="Arial" w:cs="Arial"/>
          <w:b/>
          <w:bCs/>
          <w:color w:val="E87817"/>
        </w:rPr>
        <w:t xml:space="preserve">YAPISI </w:t>
      </w:r>
    </w:p>
    <w:p w:rsidR="00A45A05" w:rsidRPr="007C5F5A" w:rsidP="00A45A05">
      <w:pPr>
        <w:widowControl w:val="0"/>
        <w:autoSpaceDE w:val="0"/>
        <w:autoSpaceDN w:val="0"/>
        <w:adjustRightInd w:val="0"/>
        <w:spacing w:after="0" w:line="322"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8"/>
          <w:szCs w:val="18"/>
        </w:rPr>
        <w:t>Ana Ülkelerdeki OEM’</w:t>
      </w:r>
      <w:r w:rsidRPr="007C5F5A">
        <w:rPr>
          <w:rFonts w:ascii="Arial" w:hAnsi="Arial" w:cs="Arial"/>
          <w:color w:val="1F1A17"/>
          <w:sz w:val="18"/>
          <w:szCs w:val="18"/>
        </w:rPr>
        <w:t>in</w:t>
      </w:r>
      <w:r>
        <w:rPr>
          <w:rFonts w:ascii="Arial" w:hAnsi="Arial" w:cs="Arial"/>
          <w:color w:val="1F1A17"/>
          <w:sz w:val="18"/>
          <w:szCs w:val="18"/>
        </w:rPr>
        <w:t xml:space="preserve">(Orijinal Ekipman Üreticileri) </w:t>
      </w:r>
      <w:r w:rsidRPr="007C5F5A">
        <w:rPr>
          <w:rFonts w:ascii="Arial" w:hAnsi="Arial" w:cs="Arial"/>
          <w:color w:val="1F1A17"/>
          <w:sz w:val="18"/>
          <w:szCs w:val="18"/>
        </w:rPr>
        <w:t xml:space="preserve">Yolcu Taşıtı Pazar Paylaşımı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378" w:lineRule="exact"/>
        <w:rPr>
          <w:rFonts w:ascii="Times New Roman" w:hAnsi="Times New Roman"/>
          <w:sz w:val="24"/>
          <w:szCs w:val="24"/>
        </w:rPr>
      </w:pPr>
    </w:p>
    <w:tbl>
      <w:tblPr>
        <w:tblW w:w="0" w:type="auto"/>
        <w:tblLayout w:type="fixed"/>
        <w:tblCellMar>
          <w:left w:w="0" w:type="dxa"/>
          <w:right w:w="0" w:type="dxa"/>
        </w:tblCellMar>
        <w:tblLook w:val="0000"/>
      </w:tblPr>
      <w:tblGrid>
        <w:gridCol w:w="780"/>
        <w:gridCol w:w="540"/>
        <w:gridCol w:w="1120"/>
        <w:gridCol w:w="840"/>
        <w:gridCol w:w="180"/>
        <w:gridCol w:w="520"/>
        <w:gridCol w:w="1620"/>
        <w:gridCol w:w="1460"/>
        <w:gridCol w:w="20"/>
      </w:tblGrid>
      <w:tr w:rsidTr="00BE30FE">
        <w:tblPrEx>
          <w:tblW w:w="0" w:type="auto"/>
          <w:tblLayout w:type="fixed"/>
          <w:tblCellMar>
            <w:left w:w="0" w:type="dxa"/>
            <w:right w:w="0" w:type="dxa"/>
          </w:tblCellMar>
          <w:tblLook w:val="0000"/>
        </w:tblPrEx>
        <w:trPr>
          <w:trHeight w:val="215"/>
        </w:trPr>
        <w:tc>
          <w:tcPr>
            <w:tcW w:w="13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40"/>
              <w:jc w:val="right"/>
              <w:rPr>
                <w:rFonts w:ascii="Times New Roman" w:hAnsi="Times New Roman"/>
                <w:sz w:val="24"/>
                <w:szCs w:val="24"/>
              </w:rPr>
            </w:pPr>
            <w:r w:rsidRPr="007C5F5A">
              <w:rPr>
                <w:rFonts w:ascii="Arial" w:hAnsi="Arial" w:cs="Arial"/>
                <w:color w:val="FFFFFF"/>
                <w:sz w:val="18"/>
                <w:szCs w:val="18"/>
              </w:rPr>
              <w:t>2007</w:t>
            </w: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FFFFFF"/>
                <w:sz w:val="18"/>
                <w:szCs w:val="18"/>
              </w:rPr>
              <w:t>2011</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689"/>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color w:val="FFFFFF"/>
                <w:w w:val="96"/>
                <w:sz w:val="16"/>
                <w:szCs w:val="16"/>
              </w:rPr>
              <w:t>Japonya</w:t>
            </w: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40"/>
              <w:rPr>
                <w:rFonts w:ascii="Times New Roman" w:hAnsi="Times New Roman"/>
                <w:sz w:val="24"/>
                <w:szCs w:val="24"/>
              </w:rPr>
            </w:pPr>
            <w:r w:rsidRPr="007C5F5A">
              <w:rPr>
                <w:rFonts w:ascii="Arial" w:hAnsi="Arial" w:cs="Arial"/>
                <w:color w:val="FFFFFF"/>
                <w:sz w:val="16"/>
                <w:szCs w:val="16"/>
              </w:rPr>
              <w:t>Japonya</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BMW</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91"/>
        </w:trPr>
        <w:tc>
          <w:tcPr>
            <w:tcW w:w="78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298"/>
              <w:jc w:val="center"/>
              <w:rPr>
                <w:rFonts w:ascii="Times New Roman" w:hAnsi="Times New Roman"/>
                <w:sz w:val="24"/>
                <w:szCs w:val="24"/>
              </w:rPr>
            </w:pPr>
            <w:r w:rsidRPr="007C5F5A">
              <w:rPr>
                <w:rFonts w:ascii="Arial" w:hAnsi="Arial" w:cs="Arial"/>
                <w:color w:val="1F1A17"/>
                <w:w w:val="93"/>
                <w:sz w:val="16"/>
                <w:szCs w:val="16"/>
              </w:rPr>
              <w:t>Kore</w:t>
            </w:r>
          </w:p>
        </w:tc>
        <w:tc>
          <w:tcPr>
            <w:tcW w:w="5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FFFFFF"/>
                <w:sz w:val="16"/>
                <w:szCs w:val="16"/>
              </w:rPr>
              <w:t>58%</w:t>
            </w: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2"/>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1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0"/>
              <w:jc w:val="center"/>
              <w:rPr>
                <w:rFonts w:ascii="Times New Roman" w:hAnsi="Times New Roman"/>
                <w:sz w:val="24"/>
                <w:szCs w:val="24"/>
              </w:rPr>
            </w:pPr>
            <w:r w:rsidRPr="007C5F5A">
              <w:rPr>
                <w:rFonts w:ascii="Arial" w:hAnsi="Arial" w:cs="Arial"/>
                <w:color w:val="1F1A17"/>
                <w:w w:val="93"/>
                <w:sz w:val="16"/>
                <w:szCs w:val="16"/>
              </w:rPr>
              <w:t>Kore</w:t>
            </w: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80"/>
              <w:rPr>
                <w:rFonts w:ascii="Times New Roman" w:hAnsi="Times New Roman"/>
                <w:sz w:val="24"/>
                <w:szCs w:val="24"/>
              </w:rPr>
            </w:pPr>
            <w:r w:rsidRPr="007C5F5A">
              <w:rPr>
                <w:rFonts w:ascii="Arial" w:hAnsi="Arial" w:cs="Arial"/>
                <w:color w:val="FFFFFF"/>
                <w:sz w:val="16"/>
                <w:szCs w:val="16"/>
              </w:rPr>
              <w:t>53%</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VW</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8"/>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1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0"/>
        </w:trPr>
        <w:tc>
          <w:tcPr>
            <w:tcW w:w="78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338"/>
              <w:jc w:val="right"/>
              <w:rPr>
                <w:rFonts w:ascii="Times New Roman" w:hAnsi="Times New Roman"/>
                <w:sz w:val="24"/>
                <w:szCs w:val="24"/>
              </w:rPr>
            </w:pPr>
            <w:r w:rsidRPr="007C5F5A">
              <w:rPr>
                <w:rFonts w:ascii="Arial" w:hAnsi="Arial" w:cs="Arial"/>
                <w:color w:val="1F1A17"/>
                <w:sz w:val="16"/>
                <w:szCs w:val="16"/>
              </w:rPr>
              <w:t>17%</w:t>
            </w: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2"/>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1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Skoda</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90"/>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1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26%</w:t>
            </w: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3"/>
        </w:trPr>
        <w:tc>
          <w:tcPr>
            <w:tcW w:w="78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40"/>
              <w:rPr>
                <w:rFonts w:ascii="Times New Roman" w:hAnsi="Times New Roman"/>
                <w:sz w:val="24"/>
                <w:szCs w:val="24"/>
              </w:rPr>
            </w:pPr>
            <w:r w:rsidRPr="007C5F5A">
              <w:rPr>
                <w:rFonts w:ascii="Arial" w:hAnsi="Arial" w:cs="Arial"/>
                <w:color w:val="1F1A17"/>
                <w:sz w:val="16"/>
                <w:szCs w:val="16"/>
              </w:rPr>
              <w:t>Yerel</w:t>
            </w: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1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46"/>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2"/>
                <w:szCs w:val="12"/>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Renault Nissan</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49"/>
        </w:trPr>
        <w:tc>
          <w:tcPr>
            <w:tcW w:w="78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60"/>
              <w:rPr>
                <w:rFonts w:ascii="Times New Roman" w:hAnsi="Times New Roman"/>
                <w:sz w:val="24"/>
                <w:szCs w:val="24"/>
              </w:rPr>
            </w:pPr>
            <w:r w:rsidRPr="007C5F5A">
              <w:rPr>
                <w:rFonts w:ascii="Arial" w:hAnsi="Arial" w:cs="Arial"/>
                <w:color w:val="1F1A17"/>
                <w:sz w:val="16"/>
                <w:szCs w:val="16"/>
              </w:rPr>
              <w:t>17%</w:t>
            </w: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
              <w:rPr>
                <w:rFonts w:ascii="Times New Roman" w:hAnsi="Times New Roman"/>
                <w:sz w:val="24"/>
                <w:szCs w:val="24"/>
              </w:rPr>
            </w:pPr>
            <w:r w:rsidRPr="007C5F5A">
              <w:rPr>
                <w:rFonts w:ascii="Arial" w:hAnsi="Arial" w:cs="Arial"/>
                <w:color w:val="1F1A17"/>
                <w:sz w:val="16"/>
                <w:szCs w:val="16"/>
              </w:rPr>
              <w:t>Yerel</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52"/>
        </w:trPr>
        <w:tc>
          <w:tcPr>
            <w:tcW w:w="78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3"/>
                <w:szCs w:val="13"/>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Mercedes Benz</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68"/>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9%</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25"/>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66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ABD  Avrupa</w:t>
            </w: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70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center"/>
              <w:rPr>
                <w:rFonts w:ascii="Times New Roman" w:hAnsi="Times New Roman"/>
                <w:sz w:val="24"/>
                <w:szCs w:val="24"/>
              </w:rPr>
            </w:pPr>
            <w:r w:rsidRPr="007C5F5A">
              <w:rPr>
                <w:rFonts w:ascii="Arial" w:hAnsi="Arial" w:cs="Arial"/>
                <w:color w:val="1F1A17"/>
                <w:w w:val="96"/>
                <w:sz w:val="16"/>
                <w:szCs w:val="16"/>
              </w:rPr>
              <w:t>AVRUPA</w:t>
            </w: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Mercedes Benz</w:t>
            </w: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Ford</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92"/>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6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560"/>
              <w:rPr>
                <w:rFonts w:ascii="Times New Roman" w:hAnsi="Times New Roman"/>
                <w:sz w:val="24"/>
                <w:szCs w:val="24"/>
              </w:rPr>
            </w:pPr>
            <w:r w:rsidRPr="007C5F5A">
              <w:rPr>
                <w:rFonts w:ascii="Arial" w:hAnsi="Arial" w:cs="Arial"/>
                <w:color w:val="1F1A17"/>
                <w:sz w:val="16"/>
                <w:szCs w:val="16"/>
              </w:rPr>
              <w:t>ABD</w:t>
            </w:r>
          </w:p>
        </w:tc>
        <w:tc>
          <w:tcPr>
            <w:tcW w:w="70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25"/>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540" w:type="dxa"/>
            <w:vMerge w:val="restart"/>
            <w:tcBorders>
              <w:top w:val="nil"/>
              <w:left w:val="nil"/>
              <w:bottom w:val="nil"/>
              <w:right w:val="nil"/>
            </w:tcBorders>
            <w:vAlign w:val="bottom"/>
          </w:tcPr>
          <w:p w:rsidR="00A45A05" w:rsidRPr="007C5F5A" w:rsidP="002477F0">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6"/>
                <w:szCs w:val="16"/>
              </w:rPr>
              <w:t xml:space="preserve">% </w:t>
            </w:r>
            <w:r w:rsidRPr="007C5F5A">
              <w:rPr>
                <w:rFonts w:ascii="Arial" w:hAnsi="Arial" w:cs="Arial"/>
                <w:color w:val="1F1A17"/>
                <w:sz w:val="16"/>
                <w:szCs w:val="16"/>
              </w:rPr>
              <w:t>6</w:t>
            </w:r>
          </w:p>
        </w:tc>
        <w:tc>
          <w:tcPr>
            <w:tcW w:w="1120" w:type="dxa"/>
            <w:vMerge w:val="restart"/>
            <w:tcBorders>
              <w:top w:val="nil"/>
              <w:left w:val="nil"/>
              <w:bottom w:val="nil"/>
              <w:right w:val="nil"/>
            </w:tcBorders>
            <w:vAlign w:val="bottom"/>
          </w:tcPr>
          <w:p w:rsidR="00A45A05" w:rsidRPr="007C5F5A" w:rsidP="002477F0">
            <w:pPr>
              <w:widowControl w:val="0"/>
              <w:autoSpaceDE w:val="0"/>
              <w:autoSpaceDN w:val="0"/>
              <w:adjustRightInd w:val="0"/>
              <w:spacing w:after="0" w:line="240" w:lineRule="auto"/>
              <w:ind w:right="760"/>
              <w:jc w:val="right"/>
              <w:rPr>
                <w:rFonts w:ascii="Times New Roman" w:hAnsi="Times New Roman"/>
                <w:sz w:val="24"/>
                <w:szCs w:val="24"/>
              </w:rPr>
            </w:pPr>
            <w:r>
              <w:rPr>
                <w:rFonts w:ascii="Arial" w:hAnsi="Arial" w:cs="Arial"/>
                <w:color w:val="1F1A17"/>
                <w:sz w:val="16"/>
                <w:szCs w:val="16"/>
              </w:rPr>
              <w:t>%</w:t>
            </w:r>
            <w:r w:rsidRPr="007C5F5A">
              <w:rPr>
                <w:rFonts w:ascii="Arial" w:hAnsi="Arial" w:cs="Arial"/>
                <w:color w:val="1F1A17"/>
                <w:sz w:val="16"/>
                <w:szCs w:val="16"/>
              </w:rPr>
              <w:t>2</w:t>
            </w: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520" w:type="dxa"/>
            <w:vMerge w:val="restart"/>
            <w:tcBorders>
              <w:top w:val="nil"/>
              <w:left w:val="nil"/>
              <w:bottom w:val="nil"/>
              <w:right w:val="nil"/>
            </w:tcBorders>
            <w:vAlign w:val="bottom"/>
          </w:tcPr>
          <w:p w:rsidR="00A45A05" w:rsidRPr="007C5F5A" w:rsidP="002477F0">
            <w:pPr>
              <w:widowControl w:val="0"/>
              <w:autoSpaceDE w:val="0"/>
              <w:autoSpaceDN w:val="0"/>
              <w:adjustRightInd w:val="0"/>
              <w:spacing w:after="0" w:line="240" w:lineRule="auto"/>
              <w:ind w:right="180"/>
              <w:jc w:val="right"/>
              <w:rPr>
                <w:rFonts w:ascii="Times New Roman" w:hAnsi="Times New Roman"/>
                <w:sz w:val="24"/>
                <w:szCs w:val="24"/>
              </w:rPr>
            </w:pPr>
            <w:r>
              <w:rPr>
                <w:rFonts w:ascii="Arial" w:hAnsi="Arial" w:cs="Arial"/>
                <w:color w:val="1F1A17"/>
                <w:sz w:val="16"/>
                <w:szCs w:val="16"/>
              </w:rPr>
              <w:t>%</w:t>
            </w:r>
            <w:r w:rsidRPr="007C5F5A">
              <w:rPr>
                <w:rFonts w:ascii="Arial" w:hAnsi="Arial" w:cs="Arial"/>
                <w:color w:val="1F1A17"/>
                <w:sz w:val="16"/>
                <w:szCs w:val="16"/>
              </w:rPr>
              <w:t>5</w:t>
            </w: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Ford</w:t>
            </w: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Toyota</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72"/>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1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840" w:type="dxa"/>
            <w:vMerge w:val="restart"/>
            <w:tcBorders>
              <w:top w:val="nil"/>
              <w:left w:val="nil"/>
              <w:bottom w:val="nil"/>
              <w:right w:val="nil"/>
            </w:tcBorders>
            <w:vAlign w:val="bottom"/>
          </w:tcPr>
          <w:p w:rsidR="00A45A05" w:rsidRPr="007C5F5A" w:rsidP="002477F0">
            <w:pPr>
              <w:widowControl w:val="0"/>
              <w:autoSpaceDE w:val="0"/>
              <w:autoSpaceDN w:val="0"/>
              <w:adjustRightInd w:val="0"/>
              <w:spacing w:after="0" w:line="240" w:lineRule="auto"/>
              <w:ind w:left="560"/>
              <w:rPr>
                <w:rFonts w:ascii="Times New Roman" w:hAnsi="Times New Roman"/>
                <w:sz w:val="24"/>
                <w:szCs w:val="24"/>
              </w:rPr>
            </w:pPr>
            <w:r>
              <w:rPr>
                <w:rFonts w:ascii="Arial" w:hAnsi="Arial" w:cs="Arial"/>
                <w:color w:val="1F1A17"/>
                <w:sz w:val="16"/>
                <w:szCs w:val="16"/>
              </w:rPr>
              <w:t>%</w:t>
            </w:r>
            <w:r w:rsidRPr="007C5F5A">
              <w:rPr>
                <w:rFonts w:ascii="Arial" w:hAnsi="Arial" w:cs="Arial"/>
                <w:color w:val="1F1A17"/>
                <w:sz w:val="16"/>
                <w:szCs w:val="16"/>
              </w:rPr>
              <w:t>7</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5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21"/>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Toyota</w:t>
            </w: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Honda</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69"/>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6"/>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Honda</w:t>
            </w: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37"/>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GM</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GM</w:t>
            </w: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10"/>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Flat</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10"/>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Flat</w:t>
            </w: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Hyundai</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37"/>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Hyundai</w:t>
            </w: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56"/>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02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
              <w:rPr>
                <w:rFonts w:ascii="Times New Roman" w:hAnsi="Times New Roman"/>
                <w:sz w:val="24"/>
                <w:szCs w:val="24"/>
              </w:rPr>
            </w:pPr>
            <w:r w:rsidRPr="007C5F5A">
              <w:rPr>
                <w:rFonts w:ascii="Arial" w:hAnsi="Arial" w:cs="Arial"/>
                <w:color w:val="1F1A17"/>
                <w:w w:val="96"/>
                <w:sz w:val="16"/>
                <w:szCs w:val="16"/>
              </w:rPr>
              <w:t>Maruti Suzuki</w:t>
            </w: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4"/>
                <w:szCs w:val="4"/>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Maruti Suzuki</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7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102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172" w:lineRule="exact"/>
              <w:ind w:left="160"/>
              <w:rPr>
                <w:rFonts w:ascii="Times New Roman" w:hAnsi="Times New Roman"/>
                <w:sz w:val="24"/>
                <w:szCs w:val="24"/>
              </w:rPr>
            </w:pPr>
            <w:r w:rsidRPr="007C5F5A">
              <w:rPr>
                <w:rFonts w:ascii="Arial" w:hAnsi="Arial" w:cs="Arial"/>
                <w:color w:val="1F1A17"/>
                <w:sz w:val="16"/>
                <w:szCs w:val="16"/>
              </w:rPr>
              <w:t>Maruti Suzuki</w:t>
            </w: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9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660" w:type="dxa"/>
            <w:gridSpan w:val="2"/>
            <w:vMerge w:val="restart"/>
            <w:tcBorders>
              <w:top w:val="nil"/>
              <w:left w:val="nil"/>
              <w:bottom w:val="nil"/>
              <w:right w:val="nil"/>
            </w:tcBorders>
            <w:vAlign w:val="bottom"/>
          </w:tcPr>
          <w:p w:rsidR="00A45A05" w:rsidP="00BE30FE">
            <w:pPr>
              <w:widowControl w:val="0"/>
              <w:autoSpaceDE w:val="0"/>
              <w:autoSpaceDN w:val="0"/>
              <w:adjustRightInd w:val="0"/>
              <w:spacing w:after="0" w:line="240" w:lineRule="auto"/>
              <w:ind w:left="80"/>
              <w:rPr>
                <w:rFonts w:ascii="Arial" w:hAnsi="Arial" w:cs="Arial"/>
                <w:color w:val="1F1A17"/>
                <w:sz w:val="16"/>
                <w:szCs w:val="16"/>
              </w:rPr>
            </w:pPr>
          </w:p>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Mahindra</w:t>
            </w:r>
          </w:p>
        </w:tc>
        <w:tc>
          <w:tcPr>
            <w:tcW w:w="102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
              <w:rPr>
                <w:rFonts w:ascii="Times New Roman" w:hAnsi="Times New Roman"/>
                <w:sz w:val="24"/>
                <w:szCs w:val="24"/>
              </w:rPr>
            </w:pPr>
            <w:r w:rsidRPr="007C5F5A">
              <w:rPr>
                <w:rFonts w:ascii="Arial" w:hAnsi="Arial" w:cs="Arial"/>
                <w:color w:val="1F1A17"/>
                <w:sz w:val="16"/>
                <w:szCs w:val="16"/>
              </w:rPr>
              <w:t>TataMotors</w:t>
            </w: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TataMotors</w:t>
            </w:r>
          </w:p>
        </w:tc>
        <w:tc>
          <w:tcPr>
            <w:tcW w:w="14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TataMotors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15"/>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66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
              <w:rPr>
                <w:rFonts w:ascii="Times New Roman" w:hAnsi="Times New Roman"/>
                <w:sz w:val="24"/>
                <w:szCs w:val="24"/>
              </w:rPr>
            </w:pPr>
            <w:r w:rsidRPr="007C5F5A">
              <w:rPr>
                <w:rFonts w:ascii="Arial" w:hAnsi="Arial" w:cs="Arial"/>
                <w:color w:val="1F1A17"/>
                <w:sz w:val="16"/>
                <w:szCs w:val="16"/>
              </w:rPr>
              <w:t>Mahindra</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Mahindra</w:t>
            </w: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Mahindra</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5"/>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6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80"/>
              <w:rPr>
                <w:rFonts w:ascii="Times New Roman" w:hAnsi="Times New Roman"/>
                <w:sz w:val="24"/>
                <w:szCs w:val="24"/>
              </w:rPr>
            </w:pPr>
            <w:r w:rsidRPr="007C5F5A">
              <w:rPr>
                <w:rFonts w:ascii="Arial" w:hAnsi="Arial" w:cs="Arial"/>
                <w:color w:val="1F1A17"/>
                <w:sz w:val="16"/>
                <w:szCs w:val="16"/>
              </w:rPr>
              <w:t>HindustanMotors</w:t>
            </w: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8"/>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66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1540" w:type="dxa"/>
            <w:gridSpan w:val="3"/>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
              <w:rPr>
                <w:rFonts w:ascii="Times New Roman" w:hAnsi="Times New Roman"/>
                <w:sz w:val="24"/>
                <w:szCs w:val="24"/>
              </w:rPr>
            </w:pPr>
            <w:r w:rsidRPr="007C5F5A">
              <w:rPr>
                <w:rFonts w:ascii="Arial" w:hAnsi="Arial" w:cs="Arial"/>
                <w:color w:val="1F1A17"/>
                <w:sz w:val="16"/>
                <w:szCs w:val="16"/>
              </w:rPr>
              <w:t>HindustanMotors</w:t>
            </w:r>
          </w:p>
        </w:tc>
        <w:tc>
          <w:tcPr>
            <w:tcW w:w="16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60"/>
              <w:rPr>
                <w:rFonts w:ascii="Times New Roman" w:hAnsi="Times New Roman"/>
                <w:sz w:val="24"/>
                <w:szCs w:val="24"/>
              </w:rPr>
            </w:pPr>
            <w:r w:rsidRPr="007C5F5A">
              <w:rPr>
                <w:rFonts w:ascii="Arial" w:hAnsi="Arial" w:cs="Arial"/>
                <w:color w:val="1F1A17"/>
                <w:sz w:val="16"/>
                <w:szCs w:val="16"/>
              </w:rPr>
              <w:t>HindustanMotors</w:t>
            </w: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Force Motors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77"/>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60" w:type="dxa"/>
            <w:gridSpan w:val="2"/>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179" w:lineRule="exact"/>
              <w:ind w:left="80"/>
              <w:rPr>
                <w:rFonts w:ascii="Times New Roman" w:hAnsi="Times New Roman"/>
                <w:sz w:val="24"/>
                <w:szCs w:val="24"/>
              </w:rPr>
            </w:pPr>
            <w:r w:rsidRPr="007C5F5A">
              <w:rPr>
                <w:rFonts w:ascii="Arial" w:hAnsi="Arial" w:cs="Arial"/>
                <w:color w:val="1F1A17"/>
                <w:sz w:val="16"/>
                <w:szCs w:val="16"/>
              </w:rPr>
              <w:t>Premier</w:t>
            </w:r>
          </w:p>
        </w:tc>
        <w:tc>
          <w:tcPr>
            <w:tcW w:w="1540" w:type="dxa"/>
            <w:gridSpan w:val="3"/>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60" w:type="dxa"/>
            <w:gridSpan w:val="2"/>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84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0"/>
              <w:rPr>
                <w:rFonts w:ascii="Times New Roman" w:hAnsi="Times New Roman"/>
                <w:sz w:val="24"/>
                <w:szCs w:val="24"/>
              </w:rPr>
            </w:pPr>
            <w:r w:rsidRPr="007C5F5A">
              <w:rPr>
                <w:rFonts w:ascii="Arial" w:hAnsi="Arial" w:cs="Arial"/>
                <w:color w:val="1F1A17"/>
                <w:sz w:val="16"/>
                <w:szCs w:val="16"/>
              </w:rPr>
              <w:t>Premier</w:t>
            </w: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87"/>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4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80"/>
              <w:rPr>
                <w:rFonts w:ascii="Times New Roman" w:hAnsi="Times New Roman"/>
                <w:sz w:val="24"/>
                <w:szCs w:val="24"/>
              </w:rPr>
            </w:pPr>
            <w:r w:rsidRPr="007C5F5A">
              <w:rPr>
                <w:rFonts w:ascii="Arial" w:hAnsi="Arial" w:cs="Arial"/>
                <w:color w:val="1F1A17"/>
                <w:sz w:val="16"/>
                <w:szCs w:val="16"/>
              </w:rPr>
              <w:t>HindustanMotors</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103"/>
        </w:trPr>
        <w:tc>
          <w:tcPr>
            <w:tcW w:w="7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1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6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4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bl>
    <w:p w:rsidR="00A45A05" w:rsidRPr="007C5F5A" w:rsidP="00A45A05">
      <w:pPr>
        <w:widowControl w:val="0"/>
        <w:autoSpaceDE w:val="0"/>
        <w:autoSpaceDN w:val="0"/>
        <w:adjustRightInd w:val="0"/>
        <w:spacing w:after="0" w:line="200" w:lineRule="exact"/>
        <w:rPr>
          <w:rFonts w:ascii="Times New Roman" w:hAnsi="Times New Roman"/>
          <w:sz w:val="24"/>
          <w:szCs w:val="24"/>
        </w:rPr>
      </w:pPr>
      <w:r w:rsidRPr="007C5F5A">
        <w:rPr>
          <w:rFonts w:ascii="Times New Roman" w:hAnsi="Times New Roman"/>
          <w:sz w:val="24"/>
          <w:szCs w:val="24"/>
        </w:rPr>
        <w:br w:type="column"/>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86" w:lineRule="exact"/>
        <w:rPr>
          <w:rFonts w:ascii="Times New Roman" w:hAnsi="Times New Roman"/>
          <w:sz w:val="24"/>
          <w:szCs w:val="24"/>
        </w:rPr>
      </w:pPr>
    </w:p>
    <w:tbl>
      <w:tblPr>
        <w:tblW w:w="0" w:type="auto"/>
        <w:tblLayout w:type="fixed"/>
        <w:tblCellMar>
          <w:left w:w="0" w:type="dxa"/>
          <w:right w:w="0" w:type="dxa"/>
        </w:tblCellMar>
        <w:tblLook w:val="0000"/>
      </w:tblPr>
      <w:tblGrid>
        <w:gridCol w:w="184"/>
      </w:tblGrid>
      <w:tr w:rsidTr="00BE30FE">
        <w:tblPrEx>
          <w:tblW w:w="0" w:type="auto"/>
          <w:tblLayout w:type="fixed"/>
          <w:tblCellMar>
            <w:left w:w="0" w:type="dxa"/>
            <w:right w:w="0" w:type="dxa"/>
          </w:tblCellMar>
          <w:tblLook w:val="0000"/>
        </w:tblPrEx>
        <w:trPr>
          <w:trHeight w:val="1400"/>
        </w:trPr>
        <w:tc>
          <w:tcPr>
            <w:tcW w:w="184" w:type="dxa"/>
            <w:tcBorders>
              <w:top w:val="nil"/>
              <w:left w:val="nil"/>
              <w:bottom w:val="nil"/>
              <w:right w:val="nil"/>
            </w:tcBorders>
            <w:textDirection w:val="btLr"/>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Yerel         Yabancı</w:t>
            </w:r>
          </w:p>
        </w:tc>
      </w:tr>
    </w:tbl>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1229" w:bottom="320" w:left="3680" w:header="708" w:footer="708" w:gutter="0"/>
          <w:cols w:num="2" w:space="267" w:equalWidth="0">
            <w:col w:w="7060" w:space="267"/>
            <w:col w:w="184"/>
          </w:cols>
          <w:noEndnote/>
        </w:sectPr>
      </w:pPr>
    </w:p>
    <w:p w:rsidR="00A45A05" w:rsidRPr="007C5F5A" w:rsidP="00A45A05">
      <w:pPr>
        <w:widowControl w:val="0"/>
        <w:autoSpaceDE w:val="0"/>
        <w:autoSpaceDN w:val="0"/>
        <w:adjustRightInd w:val="0"/>
        <w:spacing w:after="0" w:line="356" w:lineRule="exact"/>
        <w:rPr>
          <w:rFonts w:ascii="Times New Roman" w:hAnsi="Times New Roman"/>
          <w:sz w:val="24"/>
          <w:szCs w:val="24"/>
        </w:rPr>
      </w:pPr>
    </w:p>
    <w:tbl>
      <w:tblPr>
        <w:tblW w:w="0" w:type="auto"/>
        <w:tblInd w:w="1340" w:type="dxa"/>
        <w:tblLayout w:type="fixed"/>
        <w:tblCellMar>
          <w:left w:w="0" w:type="dxa"/>
          <w:right w:w="0" w:type="dxa"/>
        </w:tblCellMar>
        <w:tblLook w:val="0000"/>
      </w:tblPr>
      <w:tblGrid>
        <w:gridCol w:w="960"/>
        <w:gridCol w:w="680"/>
        <w:gridCol w:w="960"/>
        <w:gridCol w:w="680"/>
        <w:gridCol w:w="960"/>
        <w:gridCol w:w="680"/>
        <w:gridCol w:w="960"/>
        <w:gridCol w:w="680"/>
      </w:tblGrid>
      <w:tr w:rsidTr="00BE30FE">
        <w:tblPrEx>
          <w:tblW w:w="0" w:type="auto"/>
          <w:tblInd w:w="1340" w:type="dxa"/>
          <w:tblLayout w:type="fixed"/>
          <w:tblCellMar>
            <w:left w:w="0" w:type="dxa"/>
            <w:right w:w="0" w:type="dxa"/>
          </w:tblCellMar>
          <w:tblLook w:val="0000"/>
        </w:tblPrEx>
        <w:trPr>
          <w:trHeight w:val="247"/>
        </w:trPr>
        <w:tc>
          <w:tcPr>
            <w:tcW w:w="9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210"/>
              <w:jc w:val="right"/>
              <w:rPr>
                <w:rFonts w:ascii="Times New Roman" w:hAnsi="Times New Roman"/>
                <w:sz w:val="24"/>
                <w:szCs w:val="24"/>
              </w:rPr>
            </w:pPr>
            <w:r w:rsidRPr="007C5F5A">
              <w:rPr>
                <w:rFonts w:ascii="Arial" w:hAnsi="Arial" w:cs="Arial"/>
                <w:color w:val="FFFFFF"/>
                <w:sz w:val="18"/>
                <w:szCs w:val="18"/>
              </w:rPr>
              <w:t>1980</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190"/>
              <w:jc w:val="right"/>
              <w:rPr>
                <w:rFonts w:ascii="Times New Roman" w:hAnsi="Times New Roman"/>
                <w:sz w:val="24"/>
                <w:szCs w:val="24"/>
              </w:rPr>
            </w:pPr>
            <w:r w:rsidRPr="007C5F5A">
              <w:rPr>
                <w:rFonts w:ascii="Arial" w:hAnsi="Arial" w:cs="Arial"/>
                <w:color w:val="FFFFFF"/>
                <w:sz w:val="18"/>
                <w:szCs w:val="18"/>
              </w:rPr>
              <w:t>1990</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190"/>
              <w:jc w:val="right"/>
              <w:rPr>
                <w:rFonts w:ascii="Times New Roman" w:hAnsi="Times New Roman"/>
                <w:sz w:val="24"/>
                <w:szCs w:val="24"/>
              </w:rPr>
            </w:pPr>
            <w:r w:rsidRPr="007C5F5A">
              <w:rPr>
                <w:rFonts w:ascii="Arial" w:hAnsi="Arial" w:cs="Arial"/>
                <w:color w:val="FFFFFF"/>
                <w:sz w:val="18"/>
                <w:szCs w:val="18"/>
              </w:rPr>
              <w:t>2000</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right="195"/>
              <w:jc w:val="right"/>
              <w:rPr>
                <w:rFonts w:ascii="Times New Roman" w:hAnsi="Times New Roman"/>
                <w:sz w:val="24"/>
                <w:szCs w:val="24"/>
              </w:rPr>
            </w:pPr>
            <w:r w:rsidRPr="007C5F5A">
              <w:rPr>
                <w:rFonts w:ascii="Arial" w:hAnsi="Arial" w:cs="Arial"/>
                <w:color w:val="FFFFFF"/>
                <w:sz w:val="18"/>
                <w:szCs w:val="18"/>
              </w:rPr>
              <w:t>2011</w:t>
            </w: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1"/>
                <w:szCs w:val="21"/>
              </w:rPr>
            </w:pPr>
          </w:p>
        </w:tc>
      </w:tr>
      <w:tr w:rsidTr="00BE30FE">
        <w:tblPrEx>
          <w:tblW w:w="0" w:type="auto"/>
          <w:tblInd w:w="1340" w:type="dxa"/>
          <w:tblLayout w:type="fixed"/>
          <w:tblCellMar>
            <w:left w:w="0" w:type="dxa"/>
            <w:right w:w="0" w:type="dxa"/>
          </w:tblCellMar>
          <w:tblLook w:val="0000"/>
        </w:tblPrEx>
        <w:trPr>
          <w:trHeight w:val="375"/>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640" w:type="dxa"/>
            <w:gridSpan w:val="2"/>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i/>
                <w:iCs/>
                <w:color w:val="1F1A17"/>
                <w:w w:val="98"/>
                <w:sz w:val="16"/>
                <w:szCs w:val="16"/>
              </w:rPr>
              <w:t>Tanımlayıcı Liste</w:t>
            </w:r>
          </w:p>
        </w:tc>
      </w:tr>
    </w:tbl>
    <w:p w:rsidR="00A45A05" w:rsidRPr="007C5F5A" w:rsidP="00A45A05">
      <w:pPr>
        <w:widowControl w:val="0"/>
        <w:autoSpaceDE w:val="0"/>
        <w:autoSpaceDN w:val="0"/>
        <w:adjustRightInd w:val="0"/>
        <w:spacing w:after="0" w:line="227"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FFFFFF"/>
          <w:sz w:val="20"/>
          <w:szCs w:val="20"/>
        </w:rPr>
        <w:t xml:space="preserve">Otomobil Bileşen Sektöründeki Yabancı Yatırımcılar </w:t>
      </w:r>
    </w:p>
    <w:p w:rsidR="00A45A05" w:rsidRPr="007C5F5A" w:rsidP="00A45A05">
      <w:pPr>
        <w:widowControl w:val="0"/>
        <w:autoSpaceDE w:val="0"/>
        <w:autoSpaceDN w:val="0"/>
        <w:adjustRightInd w:val="0"/>
        <w:spacing w:after="0" w:line="110" w:lineRule="exact"/>
        <w:rPr>
          <w:rFonts w:ascii="Times New Roman" w:hAnsi="Times New Roman"/>
          <w:sz w:val="24"/>
          <w:szCs w:val="24"/>
        </w:rPr>
      </w:pPr>
    </w:p>
    <w:tbl>
      <w:tblPr>
        <w:tblW w:w="0" w:type="auto"/>
        <w:tblLayout w:type="fixed"/>
        <w:tblCellMar>
          <w:left w:w="0" w:type="dxa"/>
          <w:right w:w="0" w:type="dxa"/>
        </w:tblCellMar>
        <w:tblLook w:val="0000"/>
      </w:tblPr>
      <w:tblGrid>
        <w:gridCol w:w="3480"/>
        <w:gridCol w:w="4440"/>
      </w:tblGrid>
      <w:tr w:rsidTr="00BE30FE">
        <w:tblPrEx>
          <w:tblW w:w="0" w:type="auto"/>
          <w:tblLayout w:type="fixed"/>
          <w:tblCellMar>
            <w:left w:w="0" w:type="dxa"/>
            <w:right w:w="0" w:type="dxa"/>
          </w:tblCellMar>
          <w:tblLook w:val="0000"/>
        </w:tblPrEx>
        <w:trPr>
          <w:trHeight w:val="250"/>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Bosch (Almanya)</w:t>
            </w: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140"/>
              <w:rPr>
                <w:rFonts w:ascii="Times New Roman" w:hAnsi="Times New Roman"/>
                <w:sz w:val="24"/>
                <w:szCs w:val="24"/>
              </w:rPr>
            </w:pPr>
            <w:r w:rsidRPr="007C5F5A">
              <w:rPr>
                <w:rFonts w:ascii="Arial" w:hAnsi="Arial" w:cs="Arial"/>
                <w:color w:val="1F1A17"/>
                <w:sz w:val="18"/>
                <w:szCs w:val="18"/>
              </w:rPr>
              <w:t>Delphi, İngiltere</w:t>
            </w:r>
          </w:p>
        </w:tc>
      </w:tr>
      <w:tr w:rsidTr="00BE30FE">
        <w:tblPrEx>
          <w:tblW w:w="0" w:type="auto"/>
          <w:tblLayout w:type="fixed"/>
          <w:tblCellMar>
            <w:left w:w="0" w:type="dxa"/>
            <w:right w:w="0" w:type="dxa"/>
          </w:tblCellMar>
          <w:tblLook w:val="0000"/>
        </w:tblPrEx>
        <w:trPr>
          <w:trHeight w:val="100"/>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Layout w:type="fixed"/>
          <w:tblCellMar>
            <w:left w:w="0" w:type="dxa"/>
            <w:right w:w="0" w:type="dxa"/>
          </w:tblCellMar>
          <w:tblLook w:val="0000"/>
        </w:tblPrEx>
        <w:trPr>
          <w:trHeight w:val="260"/>
        </w:trPr>
        <w:tc>
          <w:tcPr>
            <w:tcW w:w="34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AisinSeikiCompany (Japonya)</w:t>
            </w:r>
          </w:p>
        </w:tc>
        <w:tc>
          <w:tcPr>
            <w:tcW w:w="4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140"/>
              <w:rPr>
                <w:rFonts w:ascii="Times New Roman" w:hAnsi="Times New Roman"/>
                <w:sz w:val="24"/>
                <w:szCs w:val="24"/>
              </w:rPr>
            </w:pPr>
            <w:r w:rsidRPr="007C5F5A">
              <w:rPr>
                <w:rFonts w:ascii="Arial" w:hAnsi="Arial" w:cs="Arial"/>
                <w:color w:val="1F1A17"/>
                <w:sz w:val="18"/>
                <w:szCs w:val="18"/>
              </w:rPr>
              <w:t>GrazianoTrasmissioni (Italya)</w:t>
            </w:r>
          </w:p>
        </w:tc>
      </w:tr>
      <w:tr w:rsidTr="00BE30FE">
        <w:tblPrEx>
          <w:tblW w:w="0" w:type="auto"/>
          <w:tblLayout w:type="fixed"/>
          <w:tblCellMar>
            <w:left w:w="0" w:type="dxa"/>
            <w:right w:w="0" w:type="dxa"/>
          </w:tblCellMar>
          <w:tblLook w:val="0000"/>
        </w:tblPrEx>
        <w:trPr>
          <w:trHeight w:val="91"/>
        </w:trPr>
        <w:tc>
          <w:tcPr>
            <w:tcW w:w="34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4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69"/>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Denso (Japonya)</w:t>
            </w: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140"/>
              <w:rPr>
                <w:rFonts w:ascii="Times New Roman" w:hAnsi="Times New Roman"/>
                <w:sz w:val="24"/>
                <w:szCs w:val="24"/>
              </w:rPr>
            </w:pPr>
            <w:r w:rsidRPr="007C5F5A">
              <w:rPr>
                <w:rFonts w:ascii="Arial" w:hAnsi="Arial" w:cs="Arial"/>
                <w:color w:val="1F1A17"/>
                <w:sz w:val="18"/>
                <w:szCs w:val="18"/>
              </w:rPr>
              <w:t>ZF (Almanya)</w:t>
            </w:r>
          </w:p>
        </w:tc>
      </w:tr>
      <w:tr w:rsidTr="00BE30FE">
        <w:tblPrEx>
          <w:tblW w:w="0" w:type="auto"/>
          <w:tblLayout w:type="fixed"/>
          <w:tblCellMar>
            <w:left w:w="0" w:type="dxa"/>
            <w:right w:w="0" w:type="dxa"/>
          </w:tblCellMar>
          <w:tblLook w:val="0000"/>
        </w:tblPrEx>
        <w:trPr>
          <w:trHeight w:val="81"/>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79"/>
        </w:trPr>
        <w:tc>
          <w:tcPr>
            <w:tcW w:w="34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Valeo, (Fransa)</w:t>
            </w:r>
          </w:p>
        </w:tc>
        <w:tc>
          <w:tcPr>
            <w:tcW w:w="4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140"/>
              <w:rPr>
                <w:rFonts w:ascii="Times New Roman" w:hAnsi="Times New Roman"/>
                <w:sz w:val="24"/>
                <w:szCs w:val="24"/>
              </w:rPr>
            </w:pPr>
            <w:r w:rsidRPr="007C5F5A">
              <w:rPr>
                <w:rFonts w:ascii="Arial" w:hAnsi="Arial" w:cs="Arial"/>
                <w:color w:val="1F1A17"/>
                <w:sz w:val="18"/>
                <w:szCs w:val="18"/>
              </w:rPr>
              <w:t>FAG (Almanya)</w:t>
            </w:r>
          </w:p>
        </w:tc>
      </w:tr>
      <w:tr w:rsidTr="00BE30FE">
        <w:tblPrEx>
          <w:tblW w:w="0" w:type="auto"/>
          <w:tblLayout w:type="fixed"/>
          <w:tblCellMar>
            <w:left w:w="0" w:type="dxa"/>
            <w:right w:w="0" w:type="dxa"/>
          </w:tblCellMar>
          <w:tblLook w:val="0000"/>
        </w:tblPrEx>
        <w:trPr>
          <w:trHeight w:val="72"/>
        </w:trPr>
        <w:tc>
          <w:tcPr>
            <w:tcW w:w="34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4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88"/>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TRW (ABD)</w:t>
            </w: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140"/>
              <w:rPr>
                <w:rFonts w:ascii="Times New Roman" w:hAnsi="Times New Roman"/>
                <w:sz w:val="24"/>
                <w:szCs w:val="24"/>
              </w:rPr>
            </w:pPr>
            <w:r w:rsidRPr="007C5F5A">
              <w:rPr>
                <w:rFonts w:ascii="Arial" w:hAnsi="Arial" w:cs="Arial"/>
                <w:color w:val="1F1A17"/>
                <w:sz w:val="18"/>
                <w:szCs w:val="18"/>
              </w:rPr>
              <w:t>Magna (Kanada)</w:t>
            </w:r>
          </w:p>
        </w:tc>
      </w:tr>
      <w:tr w:rsidTr="00BE30FE">
        <w:tblPrEx>
          <w:tblW w:w="0" w:type="auto"/>
          <w:tblLayout w:type="fixed"/>
          <w:tblCellMar>
            <w:left w:w="0" w:type="dxa"/>
            <w:right w:w="0" w:type="dxa"/>
          </w:tblCellMar>
          <w:tblLook w:val="0000"/>
        </w:tblPrEx>
        <w:trPr>
          <w:trHeight w:val="62"/>
        </w:trPr>
        <w:tc>
          <w:tcPr>
            <w:tcW w:w="34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44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r>
    </w:tbl>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1120" w:bottom="320" w:left="3380" w:header="708" w:footer="708" w:gutter="0"/>
          <w:cols w:space="267" w:equalWidth="0">
            <w:col w:w="7920" w:space="267"/>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267" w:equalWidth="0">
            <w:col w:w="6000" w:space="267"/>
          </w:cols>
          <w:noEndnote/>
        </w:sectPr>
      </w:pPr>
      <w:r w:rsidRPr="007C5F5A">
        <w:rPr>
          <w:rFonts w:ascii="Arial" w:hAnsi="Arial" w:cs="Arial"/>
          <w:color w:val="1F1A17"/>
          <w:sz w:val="17"/>
          <w:szCs w:val="17"/>
        </w:rPr>
        <w:t xml:space="preserve">33 | HİNDİSTAN-TÜRKİYE Ticari ve Ekonomik İlişkiler:Gelecek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880350" cy="9446895"/>
            <wp:effectExtent l="0" t="0" r="0" b="0"/>
            <wp:wrapNone/>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45078" name="Picture 157"/>
                    <pic:cNvPicPr>
                      <a:picLocks noChangeAspect="1" noChangeArrowheads="1"/>
                    </pic:cNvPicPr>
                  </pic:nvPicPr>
                  <pic:blipFill>
                    <a:blip xmlns:r="http://schemas.openxmlformats.org/officeDocument/2006/relationships" r:embed="rId1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right="40"/>
        <w:jc w:val="both"/>
        <w:rPr>
          <w:rFonts w:ascii="Times New Roman" w:hAnsi="Times New Roman"/>
          <w:sz w:val="24"/>
          <w:szCs w:val="24"/>
        </w:rPr>
      </w:pPr>
      <w:r w:rsidRPr="007C5F5A">
        <w:rPr>
          <w:rFonts w:ascii="Arial" w:hAnsi="Arial" w:cs="Arial"/>
          <w:color w:val="1F1A17"/>
        </w:rPr>
        <w:t xml:space="preserve">Hindistan’da düşük </w:t>
      </w:r>
      <w:r w:rsidRPr="007C5F5A" w:rsidR="00493D0A">
        <w:rPr>
          <w:rFonts w:ascii="Arial" w:hAnsi="Arial" w:cs="Arial"/>
          <w:color w:val="1F1A17"/>
        </w:rPr>
        <w:t>maliyetli, güvenli</w:t>
      </w:r>
      <w:r w:rsidRPr="007C5F5A">
        <w:rPr>
          <w:rFonts w:ascii="Arial" w:hAnsi="Arial" w:cs="Arial"/>
          <w:color w:val="1F1A17"/>
        </w:rPr>
        <w:t xml:space="preserve"> kısa-mesafeli (yaklaşık 50-100 km/ saat)  kent </w:t>
      </w:r>
      <w:r w:rsidRPr="007C5F5A" w:rsidR="00493D0A">
        <w:rPr>
          <w:rFonts w:ascii="Arial" w:hAnsi="Arial" w:cs="Arial"/>
          <w:color w:val="1F1A17"/>
        </w:rPr>
        <w:t>içi seyahatler</w:t>
      </w:r>
      <w:r w:rsidRPr="007C5F5A">
        <w:rPr>
          <w:rFonts w:ascii="Arial" w:hAnsi="Arial" w:cs="Arial"/>
          <w:color w:val="1F1A17"/>
        </w:rPr>
        <w:t xml:space="preserve"> için uygun ve çoğunlukla sıcak olan iklimlerde sağlıklı ve güvenilir şekilde performans gösteren xEVler üzerinde mükemmel talep olacağı ön görülmektedir Toplam xEV satışlarının 2020 yılıyla birlikte ünite başına 6-7 milyar dolar olacağı varsayılmaktadır.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ind w:right="40"/>
        <w:jc w:val="both"/>
        <w:rPr>
          <w:rFonts w:ascii="Times New Roman" w:hAnsi="Times New Roman"/>
          <w:sz w:val="24"/>
          <w:szCs w:val="24"/>
        </w:rPr>
      </w:pPr>
      <w:r w:rsidRPr="007C5F5A">
        <w:rPr>
          <w:rFonts w:ascii="Arial" w:hAnsi="Arial" w:cs="Arial"/>
          <w:color w:val="1F1A17"/>
        </w:rPr>
        <w:t xml:space="preserve">Bütün uygulanabilir yasa ve kurallarına konu olan otomobil bileşenleri içerisindeki otomatik </w:t>
      </w:r>
      <w:r w:rsidRPr="007C5F5A" w:rsidR="00493D0A">
        <w:rPr>
          <w:rFonts w:ascii="Arial" w:hAnsi="Arial" w:cs="Arial"/>
          <w:color w:val="1F1A17"/>
        </w:rPr>
        <w:t>güzergâh</w:t>
      </w:r>
      <w:r w:rsidRPr="007C5F5A">
        <w:rPr>
          <w:rFonts w:ascii="Arial" w:hAnsi="Arial" w:cs="Arial"/>
          <w:color w:val="1F1A17"/>
        </w:rPr>
        <w:t xml:space="preserve"> altında % 100 FDI </w:t>
      </w:r>
      <w:r w:rsidR="00E960AF">
        <w:rPr>
          <w:rFonts w:ascii="Arial" w:hAnsi="Arial" w:cs="Arial"/>
          <w:color w:val="1F1A17"/>
        </w:rPr>
        <w:t xml:space="preserve">(Yabancı Doğrudan Yatırım) </w:t>
      </w:r>
      <w:r w:rsidRPr="007C5F5A">
        <w:rPr>
          <w:rFonts w:ascii="Arial" w:hAnsi="Arial" w:cs="Arial"/>
          <w:color w:val="1F1A17"/>
        </w:rPr>
        <w:t xml:space="preserve">serbest bırakılmıştır. </w:t>
      </w:r>
    </w:p>
    <w:p w:rsidR="00A45A05" w:rsidRPr="007C5F5A" w:rsidP="00A45A05">
      <w:pPr>
        <w:widowControl w:val="0"/>
        <w:autoSpaceDE w:val="0"/>
        <w:autoSpaceDN w:val="0"/>
        <w:adjustRightInd w:val="0"/>
        <w:spacing w:after="0" w:line="13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0A408A"/>
          <w:sz w:val="30"/>
          <w:szCs w:val="30"/>
        </w:rPr>
        <w:t xml:space="preserve">Tekstil ve Kıyafet Sektörü </w:t>
      </w:r>
    </w:p>
    <w:p w:rsidR="00A45A05" w:rsidRPr="007C5F5A" w:rsidP="00A45A05">
      <w:pPr>
        <w:widowControl w:val="0"/>
        <w:autoSpaceDE w:val="0"/>
        <w:autoSpaceDN w:val="0"/>
        <w:adjustRightInd w:val="0"/>
        <w:spacing w:after="0" w:line="215" w:lineRule="exact"/>
        <w:rPr>
          <w:rFonts w:ascii="Times New Roman" w:hAnsi="Times New Roman"/>
          <w:sz w:val="24"/>
          <w:szCs w:val="24"/>
        </w:rPr>
      </w:pPr>
    </w:p>
    <w:p w:rsidR="00A45A05" w:rsidRPr="007C5F5A" w:rsidP="00E960AF">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E87817"/>
          <w:sz w:val="26"/>
          <w:szCs w:val="26"/>
        </w:rPr>
        <w:t>Türkiye</w:t>
      </w:r>
    </w:p>
    <w:p w:rsidR="00A45A05" w:rsidRPr="007C5F5A" w:rsidP="00A45A05">
      <w:pPr>
        <w:widowControl w:val="0"/>
        <w:overflowPunct w:val="0"/>
        <w:autoSpaceDE w:val="0"/>
        <w:autoSpaceDN w:val="0"/>
        <w:adjustRightInd w:val="0"/>
        <w:spacing w:after="0" w:line="276" w:lineRule="auto"/>
        <w:ind w:right="40"/>
        <w:jc w:val="both"/>
        <w:rPr>
          <w:rFonts w:ascii="Times New Roman" w:hAnsi="Times New Roman"/>
          <w:sz w:val="24"/>
          <w:szCs w:val="24"/>
        </w:rPr>
      </w:pPr>
      <w:r w:rsidRPr="007C5F5A">
        <w:rPr>
          <w:rFonts w:ascii="Arial" w:hAnsi="Arial" w:cs="Arial"/>
          <w:color w:val="1F1A17"/>
        </w:rPr>
        <w:t xml:space="preserve">Pamuk ve sentetik iplikleri, lifleri ve dokumaları, ev tekstilini, giyime hazır eşyaları ve kıyafetleri birleştiren tekstil endüstrisi, yaklaşık </w:t>
      </w:r>
      <w:r w:rsidRPr="007C5F5A" w:rsidR="00493D0A">
        <w:rPr>
          <w:rFonts w:ascii="Arial" w:hAnsi="Arial" w:cs="Arial"/>
          <w:color w:val="1F1A17"/>
        </w:rPr>
        <w:t>2,5</w:t>
      </w:r>
      <w:r w:rsidRPr="007C5F5A">
        <w:rPr>
          <w:rFonts w:ascii="Arial" w:hAnsi="Arial" w:cs="Arial"/>
          <w:color w:val="1F1A17"/>
        </w:rPr>
        <w:t xml:space="preserve"> milyon kişiyi bünyesinde çalıştırarak ve </w:t>
      </w:r>
      <w:r w:rsidRPr="007C5F5A" w:rsidR="00493D0A">
        <w:rPr>
          <w:rFonts w:ascii="Arial" w:hAnsi="Arial" w:cs="Arial"/>
          <w:color w:val="1F1A17"/>
        </w:rPr>
        <w:t>6,5</w:t>
      </w:r>
      <w:r w:rsidRPr="007C5F5A">
        <w:rPr>
          <w:rFonts w:ascii="Arial" w:hAnsi="Arial" w:cs="Arial"/>
          <w:color w:val="1F1A17"/>
        </w:rPr>
        <w:t xml:space="preserve"> milyon kişiye dolaylı iş alanı sağlayarak Türkiye’nin en büyük ekonomik sektörü olmaya devam etmektedir. Bu endüstri </w:t>
      </w:r>
      <w:r w:rsidRPr="007C5F5A" w:rsidR="00493D0A">
        <w:rPr>
          <w:rFonts w:ascii="Arial" w:hAnsi="Arial" w:cs="Arial"/>
          <w:color w:val="1F1A17"/>
        </w:rPr>
        <w:t>Gani’nin</w:t>
      </w:r>
      <w:r w:rsidRPr="007C5F5A">
        <w:rPr>
          <w:rFonts w:ascii="Arial" w:hAnsi="Arial" w:cs="Arial"/>
          <w:color w:val="1F1A17"/>
        </w:rPr>
        <w:t xml:space="preserve"> yaklaşık %10’una katkı </w:t>
      </w:r>
      <w:r w:rsidRPr="007C5F5A" w:rsidR="00493D0A">
        <w:rPr>
          <w:rFonts w:ascii="Arial" w:hAnsi="Arial" w:cs="Arial"/>
          <w:color w:val="1F1A17"/>
        </w:rPr>
        <w:t>sağlamaktadır. Türkiye’nin</w:t>
      </w:r>
      <w:r w:rsidRPr="007C5F5A">
        <w:rPr>
          <w:rFonts w:ascii="Arial" w:hAnsi="Arial" w:cs="Arial"/>
          <w:color w:val="1F1A17"/>
        </w:rPr>
        <w:t xml:space="preserve"> tekstil endüstrisi Dünyada 10.sıradadır ve Avrupa Birliğinin bir numaralı sağlayıcısıdır. Son zamanlara kadar giyim </w:t>
      </w:r>
      <w:r w:rsidRPr="007C5F5A" w:rsidR="00493D0A">
        <w:rPr>
          <w:rFonts w:ascii="Arial" w:hAnsi="Arial" w:cs="Arial"/>
          <w:color w:val="1F1A17"/>
        </w:rPr>
        <w:t>endüstrisi, orijinal</w:t>
      </w:r>
      <w:r w:rsidRPr="007C5F5A">
        <w:rPr>
          <w:rFonts w:ascii="Arial" w:hAnsi="Arial" w:cs="Arial"/>
          <w:color w:val="1F1A17"/>
        </w:rPr>
        <w:t xml:space="preserve"> tasarım ve ürünleri olmayan çoğunlukla basit kesimli ve taklitle karakterize </w:t>
      </w:r>
      <w:r w:rsidRPr="007C5F5A" w:rsidR="00493D0A">
        <w:rPr>
          <w:rFonts w:ascii="Arial" w:hAnsi="Arial" w:cs="Arial"/>
          <w:color w:val="1F1A17"/>
        </w:rPr>
        <w:t>olmuştu</w:t>
      </w:r>
      <w:r w:rsidRPr="007C5F5A">
        <w:rPr>
          <w:rFonts w:ascii="Arial" w:hAnsi="Arial" w:cs="Arial"/>
          <w:color w:val="1F1A17"/>
        </w:rPr>
        <w:t xml:space="preserve"> ve küçük, düşük bütçeli, </w:t>
      </w:r>
      <w:r w:rsidRPr="007C5F5A" w:rsidR="00493D0A">
        <w:rPr>
          <w:rFonts w:ascii="Arial" w:hAnsi="Arial" w:cs="Arial"/>
          <w:color w:val="1F1A17"/>
        </w:rPr>
        <w:t>aile şirketleri</w:t>
      </w:r>
      <w:r w:rsidR="00E960AF">
        <w:rPr>
          <w:rFonts w:ascii="Arial" w:hAnsi="Arial" w:cs="Arial"/>
          <w:color w:val="1F1A17"/>
        </w:rPr>
        <w:t xml:space="preserve"> tarafından işletilmekteydi.</w:t>
      </w:r>
    </w:p>
    <w:p w:rsidR="00A45A05" w:rsidRPr="007C5F5A" w:rsidP="00A45A05">
      <w:pPr>
        <w:widowControl w:val="0"/>
        <w:autoSpaceDE w:val="0"/>
        <w:autoSpaceDN w:val="0"/>
        <w:adjustRightInd w:val="0"/>
        <w:spacing w:after="0" w:line="223"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ind w:right="40"/>
        <w:jc w:val="both"/>
        <w:rPr>
          <w:rFonts w:ascii="Times New Roman" w:hAnsi="Times New Roman"/>
          <w:sz w:val="24"/>
          <w:szCs w:val="24"/>
        </w:rPr>
      </w:pPr>
      <w:r w:rsidRPr="007C5F5A">
        <w:rPr>
          <w:rFonts w:ascii="Arial" w:hAnsi="Arial" w:cs="Arial"/>
          <w:color w:val="1F1A17"/>
        </w:rPr>
        <w:t xml:space="preserve">Ülkede yaklaşık 180,000 kıyafet üreticisi vardır. </w:t>
      </w:r>
      <w:r w:rsidRPr="007C5F5A" w:rsidR="00493D0A">
        <w:rPr>
          <w:rFonts w:ascii="Arial" w:hAnsi="Arial" w:cs="Arial"/>
          <w:color w:val="1F1A17"/>
        </w:rPr>
        <w:t>Ülkede büyük</w:t>
      </w:r>
      <w:r w:rsidRPr="007C5F5A">
        <w:rPr>
          <w:rFonts w:ascii="Arial" w:hAnsi="Arial" w:cs="Arial"/>
          <w:color w:val="1F1A17"/>
        </w:rPr>
        <w:t xml:space="preserve"> çaplı ve yüksek </w:t>
      </w:r>
      <w:r w:rsidRPr="007C5F5A" w:rsidR="00493D0A">
        <w:rPr>
          <w:rFonts w:ascii="Arial" w:hAnsi="Arial" w:cs="Arial"/>
          <w:color w:val="1F1A17"/>
        </w:rPr>
        <w:t>donanımlı, her</w:t>
      </w:r>
      <w:r w:rsidRPr="007C5F5A">
        <w:rPr>
          <w:rFonts w:ascii="Arial" w:hAnsi="Arial" w:cs="Arial"/>
          <w:color w:val="1F1A17"/>
        </w:rPr>
        <w:t xml:space="preserve"> bir ünite başına </w:t>
      </w:r>
      <w:r w:rsidRPr="007C5F5A" w:rsidR="00493D0A">
        <w:rPr>
          <w:rFonts w:ascii="Arial" w:hAnsi="Arial" w:cs="Arial"/>
          <w:color w:val="1F1A17"/>
        </w:rPr>
        <w:t>yaklaşık 15</w:t>
      </w:r>
      <w:r w:rsidRPr="007C5F5A">
        <w:rPr>
          <w:rFonts w:ascii="Arial" w:hAnsi="Arial" w:cs="Arial"/>
          <w:color w:val="1F1A17"/>
        </w:rPr>
        <w:t xml:space="preserve"> milyon dolarlık yıllık satış </w:t>
      </w:r>
      <w:r w:rsidRPr="007C5F5A" w:rsidR="00493D0A">
        <w:rPr>
          <w:rFonts w:ascii="Arial" w:hAnsi="Arial" w:cs="Arial"/>
          <w:color w:val="1F1A17"/>
        </w:rPr>
        <w:t>ile</w:t>
      </w:r>
      <w:r w:rsidRPr="007C5F5A">
        <w:rPr>
          <w:rFonts w:ascii="Arial" w:hAnsi="Arial" w:cs="Arial"/>
          <w:color w:val="1F1A17"/>
        </w:rPr>
        <w:t xml:space="preserve">150 kişi çalıştıran yaklaşık 2000 tekstil imalatçısı bulunmaktadır. Ülkedeki tekstil ve kıyafetlerin %60’ı ihraç edilmektedir. </w:t>
      </w:r>
    </w:p>
    <w:p w:rsidR="00A45A05" w:rsidRPr="007C5F5A" w:rsidP="00A45A05">
      <w:pPr>
        <w:widowControl w:val="0"/>
        <w:autoSpaceDE w:val="0"/>
        <w:autoSpaceDN w:val="0"/>
        <w:adjustRightInd w:val="0"/>
        <w:spacing w:after="0" w:line="19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0" w:lineRule="auto"/>
        <w:ind w:right="820"/>
        <w:rPr>
          <w:rFonts w:ascii="Times New Roman" w:hAnsi="Times New Roman"/>
          <w:sz w:val="24"/>
          <w:szCs w:val="24"/>
        </w:rPr>
      </w:pPr>
      <w:r w:rsidRPr="007C5F5A">
        <w:rPr>
          <w:rFonts w:ascii="Arial" w:hAnsi="Arial" w:cs="Arial"/>
          <w:b/>
          <w:bCs/>
          <w:color w:val="E87817"/>
        </w:rPr>
        <w:t xml:space="preserve">2009 ve 2010 yılında ihraç edilen Türk Tekstil, Giyim, Deri ve Halı Miktarı(1000 ABD Doları olarak) </w:t>
      </w:r>
    </w:p>
    <w:p w:rsidR="00A45A05" w:rsidRPr="007C5F5A" w:rsidP="00A45A05">
      <w:pPr>
        <w:widowControl w:val="0"/>
        <w:autoSpaceDE w:val="0"/>
        <w:autoSpaceDN w:val="0"/>
        <w:adjustRightInd w:val="0"/>
        <w:spacing w:after="0" w:line="144" w:lineRule="exact"/>
        <w:rPr>
          <w:rFonts w:ascii="Times New Roman" w:hAnsi="Times New Roman"/>
          <w:sz w:val="24"/>
          <w:szCs w:val="24"/>
        </w:rPr>
      </w:pPr>
    </w:p>
    <w:tbl>
      <w:tblPr>
        <w:tblW w:w="0" w:type="auto"/>
        <w:tblInd w:w="40" w:type="dxa"/>
        <w:tblLayout w:type="fixed"/>
        <w:tblCellMar>
          <w:left w:w="0" w:type="dxa"/>
          <w:right w:w="0" w:type="dxa"/>
        </w:tblCellMar>
        <w:tblLook w:val="0000"/>
      </w:tblPr>
      <w:tblGrid>
        <w:gridCol w:w="2340"/>
        <w:gridCol w:w="1520"/>
        <w:gridCol w:w="1740"/>
        <w:gridCol w:w="2320"/>
      </w:tblGrid>
      <w:tr w:rsidTr="00BE30FE">
        <w:tblPrEx>
          <w:tblW w:w="0" w:type="auto"/>
          <w:tblInd w:w="40" w:type="dxa"/>
          <w:tblLayout w:type="fixed"/>
          <w:tblCellMar>
            <w:left w:w="0" w:type="dxa"/>
            <w:right w:w="0" w:type="dxa"/>
          </w:tblCellMar>
          <w:tblLook w:val="0000"/>
        </w:tblPrEx>
        <w:trPr>
          <w:trHeight w:val="291"/>
        </w:trPr>
        <w:tc>
          <w:tcPr>
            <w:tcW w:w="23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b/>
                <w:bCs/>
                <w:color w:val="FFFFFF"/>
                <w:sz w:val="16"/>
                <w:szCs w:val="16"/>
              </w:rPr>
              <w:t>Ürünler</w:t>
            </w:r>
          </w:p>
        </w:tc>
        <w:tc>
          <w:tcPr>
            <w:tcW w:w="15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b/>
                <w:bCs/>
                <w:color w:val="FFFFFF"/>
                <w:sz w:val="16"/>
                <w:szCs w:val="16"/>
              </w:rPr>
              <w:t>2009</w:t>
            </w:r>
          </w:p>
        </w:tc>
        <w:tc>
          <w:tcPr>
            <w:tcW w:w="17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b/>
                <w:bCs/>
                <w:color w:val="FFFFFF"/>
                <w:sz w:val="16"/>
                <w:szCs w:val="16"/>
              </w:rPr>
              <w:t>2010</w:t>
            </w:r>
          </w:p>
        </w:tc>
        <w:tc>
          <w:tcPr>
            <w:tcW w:w="23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right="100"/>
              <w:jc w:val="right"/>
              <w:rPr>
                <w:rFonts w:ascii="Times New Roman" w:hAnsi="Times New Roman"/>
                <w:sz w:val="24"/>
                <w:szCs w:val="24"/>
              </w:rPr>
            </w:pPr>
            <w:r w:rsidRPr="007C5F5A">
              <w:rPr>
                <w:rFonts w:ascii="Arial" w:hAnsi="Arial" w:cs="Arial"/>
                <w:b/>
                <w:bCs/>
                <w:color w:val="FFFFFF"/>
                <w:sz w:val="16"/>
                <w:szCs w:val="16"/>
              </w:rPr>
              <w:t>2009 içerisindeki  %lik değişim</w:t>
            </w:r>
          </w:p>
        </w:tc>
      </w:tr>
      <w:tr w:rsidTr="00BE30FE">
        <w:tblPrEx>
          <w:tblW w:w="0" w:type="auto"/>
          <w:tblInd w:w="40" w:type="dxa"/>
          <w:tblLayout w:type="fixed"/>
          <w:tblCellMar>
            <w:left w:w="0" w:type="dxa"/>
            <w:right w:w="0" w:type="dxa"/>
          </w:tblCellMar>
          <w:tblLook w:val="0000"/>
        </w:tblPrEx>
        <w:trPr>
          <w:trHeight w:val="95"/>
        </w:trPr>
        <w:tc>
          <w:tcPr>
            <w:tcW w:w="23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Ind w:w="40" w:type="dxa"/>
          <w:tblLayout w:type="fixed"/>
          <w:tblCellMar>
            <w:left w:w="0" w:type="dxa"/>
            <w:right w:w="0" w:type="dxa"/>
          </w:tblCellMar>
          <w:tblLook w:val="0000"/>
        </w:tblPrEx>
        <w:trPr>
          <w:trHeight w:val="251"/>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color w:val="1F1A17"/>
                <w:sz w:val="16"/>
                <w:szCs w:val="16"/>
              </w:rPr>
              <w:t>Kullanıma hazır giyim</w:t>
            </w: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color w:val="1F1A17"/>
                <w:sz w:val="16"/>
                <w:szCs w:val="16"/>
              </w:rPr>
              <w:t>13,297,909</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color w:val="1F1A17"/>
                <w:sz w:val="16"/>
                <w:szCs w:val="16"/>
              </w:rPr>
              <w:t>14,644,153</w:t>
            </w: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60"/>
              <w:jc w:val="right"/>
              <w:rPr>
                <w:rFonts w:ascii="Times New Roman" w:hAnsi="Times New Roman"/>
                <w:sz w:val="24"/>
                <w:szCs w:val="24"/>
              </w:rPr>
            </w:pPr>
            <w:r w:rsidRPr="007C5F5A">
              <w:rPr>
                <w:rFonts w:ascii="Arial" w:hAnsi="Arial" w:cs="Arial"/>
                <w:color w:val="1F1A17"/>
                <w:sz w:val="16"/>
                <w:szCs w:val="16"/>
              </w:rPr>
              <w:t>10.7</w:t>
            </w:r>
          </w:p>
        </w:tc>
      </w:tr>
      <w:tr w:rsidTr="00BE30FE">
        <w:tblPrEx>
          <w:tblW w:w="0" w:type="auto"/>
          <w:tblInd w:w="40" w:type="dxa"/>
          <w:tblLayout w:type="fixed"/>
          <w:tblCellMar>
            <w:left w:w="0" w:type="dxa"/>
            <w:right w:w="0" w:type="dxa"/>
          </w:tblCellMar>
          <w:tblLook w:val="0000"/>
        </w:tblPrEx>
        <w:trPr>
          <w:trHeight w:val="96"/>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Ind w:w="40" w:type="dxa"/>
          <w:tblLayout w:type="fixed"/>
          <w:tblCellMar>
            <w:left w:w="0" w:type="dxa"/>
            <w:right w:w="0" w:type="dxa"/>
          </w:tblCellMar>
          <w:tblLook w:val="0000"/>
        </w:tblPrEx>
        <w:trPr>
          <w:trHeight w:val="249"/>
        </w:trPr>
        <w:tc>
          <w:tcPr>
            <w:tcW w:w="2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color w:val="1F1A17"/>
                <w:sz w:val="16"/>
                <w:szCs w:val="16"/>
              </w:rPr>
              <w:t>Tekstil ve Ham madde</w:t>
            </w: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color w:val="1F1A17"/>
                <w:sz w:val="16"/>
                <w:szCs w:val="16"/>
              </w:rPr>
              <w:t>5,514,480</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color w:val="1F1A17"/>
                <w:sz w:val="16"/>
                <w:szCs w:val="16"/>
              </w:rPr>
              <w:t>6,528,299</w:t>
            </w:r>
          </w:p>
        </w:tc>
        <w:tc>
          <w:tcPr>
            <w:tcW w:w="23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60"/>
              <w:jc w:val="right"/>
              <w:rPr>
                <w:rFonts w:ascii="Times New Roman" w:hAnsi="Times New Roman"/>
                <w:sz w:val="24"/>
                <w:szCs w:val="24"/>
              </w:rPr>
            </w:pPr>
            <w:r w:rsidRPr="007C5F5A">
              <w:rPr>
                <w:rFonts w:ascii="Arial" w:hAnsi="Arial" w:cs="Arial"/>
                <w:color w:val="1F1A17"/>
                <w:sz w:val="16"/>
                <w:szCs w:val="16"/>
              </w:rPr>
              <w:t>18.4</w:t>
            </w:r>
          </w:p>
        </w:tc>
      </w:tr>
      <w:tr w:rsidTr="00BE30FE">
        <w:tblPrEx>
          <w:tblW w:w="0" w:type="auto"/>
          <w:tblInd w:w="40" w:type="dxa"/>
          <w:tblLayout w:type="fixed"/>
          <w:tblCellMar>
            <w:left w:w="0" w:type="dxa"/>
            <w:right w:w="0" w:type="dxa"/>
          </w:tblCellMar>
          <w:tblLook w:val="0000"/>
        </w:tblPrEx>
        <w:trPr>
          <w:trHeight w:val="97"/>
        </w:trPr>
        <w:tc>
          <w:tcPr>
            <w:tcW w:w="2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Ind w:w="40" w:type="dxa"/>
          <w:tblLayout w:type="fixed"/>
          <w:tblCellMar>
            <w:left w:w="0" w:type="dxa"/>
            <w:right w:w="0" w:type="dxa"/>
          </w:tblCellMar>
          <w:tblLook w:val="0000"/>
        </w:tblPrEx>
        <w:trPr>
          <w:trHeight w:val="249"/>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color w:val="1F1A17"/>
                <w:sz w:val="16"/>
                <w:szCs w:val="16"/>
              </w:rPr>
              <w:t>Deri ve deri ürünleri</w:t>
            </w: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color w:val="1F1A17"/>
                <w:sz w:val="16"/>
                <w:szCs w:val="16"/>
              </w:rPr>
              <w:t>1,064,715</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color w:val="1F1A17"/>
                <w:sz w:val="16"/>
                <w:szCs w:val="16"/>
              </w:rPr>
              <w:t>1,272,305</w:t>
            </w: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60"/>
              <w:jc w:val="right"/>
              <w:rPr>
                <w:rFonts w:ascii="Times New Roman" w:hAnsi="Times New Roman"/>
                <w:sz w:val="24"/>
                <w:szCs w:val="24"/>
              </w:rPr>
            </w:pPr>
            <w:r w:rsidRPr="007C5F5A">
              <w:rPr>
                <w:rFonts w:ascii="Arial" w:hAnsi="Arial" w:cs="Arial"/>
                <w:color w:val="1F1A17"/>
                <w:sz w:val="16"/>
                <w:szCs w:val="16"/>
              </w:rPr>
              <w:t>19.5</w:t>
            </w:r>
          </w:p>
        </w:tc>
      </w:tr>
      <w:tr w:rsidTr="00BE30FE">
        <w:tblPrEx>
          <w:tblW w:w="0" w:type="auto"/>
          <w:tblInd w:w="40" w:type="dxa"/>
          <w:tblLayout w:type="fixed"/>
          <w:tblCellMar>
            <w:left w:w="0" w:type="dxa"/>
            <w:right w:w="0" w:type="dxa"/>
          </w:tblCellMar>
          <w:tblLook w:val="0000"/>
        </w:tblPrEx>
        <w:trPr>
          <w:trHeight w:val="97"/>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Ind w:w="40" w:type="dxa"/>
          <w:tblLayout w:type="fixed"/>
          <w:tblCellMar>
            <w:left w:w="0" w:type="dxa"/>
            <w:right w:w="0" w:type="dxa"/>
          </w:tblCellMar>
          <w:tblLook w:val="0000"/>
        </w:tblPrEx>
        <w:trPr>
          <w:trHeight w:val="249"/>
        </w:trPr>
        <w:tc>
          <w:tcPr>
            <w:tcW w:w="2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Arial" w:hAnsi="Arial" w:cs="Arial"/>
                <w:sz w:val="16"/>
                <w:szCs w:val="16"/>
              </w:rPr>
            </w:pPr>
            <w:r w:rsidRPr="007C5F5A">
              <w:rPr>
                <w:rFonts w:ascii="Arial" w:hAnsi="Arial" w:cs="Arial"/>
                <w:sz w:val="16"/>
                <w:szCs w:val="16"/>
              </w:rPr>
              <w:t>Halı</w:t>
            </w: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color w:val="1F1A17"/>
                <w:sz w:val="16"/>
                <w:szCs w:val="16"/>
              </w:rPr>
              <w:t>1,086,205</w:t>
            </w: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color w:val="1F1A17"/>
                <w:sz w:val="16"/>
                <w:szCs w:val="16"/>
              </w:rPr>
              <w:t>1,286,389</w:t>
            </w:r>
          </w:p>
        </w:tc>
        <w:tc>
          <w:tcPr>
            <w:tcW w:w="23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660"/>
              <w:jc w:val="right"/>
              <w:rPr>
                <w:rFonts w:ascii="Times New Roman" w:hAnsi="Times New Roman"/>
                <w:sz w:val="24"/>
                <w:szCs w:val="24"/>
              </w:rPr>
            </w:pPr>
            <w:r w:rsidRPr="007C5F5A">
              <w:rPr>
                <w:rFonts w:ascii="Arial" w:hAnsi="Arial" w:cs="Arial"/>
                <w:color w:val="1F1A17"/>
                <w:sz w:val="16"/>
                <w:szCs w:val="16"/>
              </w:rPr>
              <w:t>20.8</w:t>
            </w:r>
          </w:p>
        </w:tc>
      </w:tr>
      <w:tr w:rsidTr="00BE30FE">
        <w:tblPrEx>
          <w:tblW w:w="0" w:type="auto"/>
          <w:tblInd w:w="40" w:type="dxa"/>
          <w:tblLayout w:type="fixed"/>
          <w:tblCellMar>
            <w:left w:w="0" w:type="dxa"/>
            <w:right w:w="0" w:type="dxa"/>
          </w:tblCellMar>
          <w:tblLook w:val="0000"/>
        </w:tblPrEx>
        <w:trPr>
          <w:trHeight w:val="98"/>
        </w:trPr>
        <w:tc>
          <w:tcPr>
            <w:tcW w:w="23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Ind w:w="40" w:type="dxa"/>
          <w:tblLayout w:type="fixed"/>
          <w:tblCellMar>
            <w:left w:w="0" w:type="dxa"/>
            <w:right w:w="0" w:type="dxa"/>
          </w:tblCellMar>
          <w:tblLook w:val="0000"/>
        </w:tblPrEx>
        <w:trPr>
          <w:trHeight w:val="248"/>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00"/>
              <w:rPr>
                <w:rFonts w:ascii="Times New Roman" w:hAnsi="Times New Roman"/>
                <w:sz w:val="24"/>
                <w:szCs w:val="24"/>
              </w:rPr>
            </w:pPr>
            <w:r w:rsidRPr="007C5F5A">
              <w:rPr>
                <w:rFonts w:ascii="Arial" w:hAnsi="Arial" w:cs="Arial"/>
                <w:b/>
                <w:bCs/>
                <w:color w:val="1F1A17"/>
                <w:sz w:val="16"/>
                <w:szCs w:val="16"/>
              </w:rPr>
              <w:t>Toplam</w:t>
            </w: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460"/>
              <w:jc w:val="right"/>
              <w:rPr>
                <w:rFonts w:ascii="Times New Roman" w:hAnsi="Times New Roman"/>
                <w:sz w:val="24"/>
                <w:szCs w:val="24"/>
              </w:rPr>
            </w:pPr>
            <w:r w:rsidRPr="007C5F5A">
              <w:rPr>
                <w:rFonts w:ascii="Arial" w:hAnsi="Arial" w:cs="Arial"/>
                <w:b/>
                <w:bCs/>
                <w:color w:val="1F1A17"/>
                <w:sz w:val="16"/>
                <w:szCs w:val="16"/>
              </w:rPr>
              <w:t>20,963,349</w:t>
            </w: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320"/>
              <w:jc w:val="right"/>
              <w:rPr>
                <w:rFonts w:ascii="Times New Roman" w:hAnsi="Times New Roman"/>
                <w:sz w:val="24"/>
                <w:szCs w:val="24"/>
              </w:rPr>
            </w:pPr>
            <w:r w:rsidRPr="007C5F5A">
              <w:rPr>
                <w:rFonts w:ascii="Arial" w:hAnsi="Arial" w:cs="Arial"/>
                <w:b/>
                <w:bCs/>
                <w:color w:val="1F1A17"/>
                <w:sz w:val="16"/>
                <w:szCs w:val="16"/>
              </w:rPr>
              <w:t>23,732,144</w:t>
            </w: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right="660"/>
              <w:jc w:val="right"/>
              <w:rPr>
                <w:rFonts w:ascii="Times New Roman" w:hAnsi="Times New Roman"/>
                <w:sz w:val="24"/>
                <w:szCs w:val="24"/>
              </w:rPr>
            </w:pPr>
            <w:r w:rsidRPr="007C5F5A">
              <w:rPr>
                <w:rFonts w:ascii="Arial" w:hAnsi="Arial" w:cs="Arial"/>
                <w:b/>
                <w:bCs/>
                <w:color w:val="1F1A17"/>
                <w:sz w:val="16"/>
                <w:szCs w:val="16"/>
              </w:rPr>
              <w:t>13.2</w:t>
            </w:r>
          </w:p>
        </w:tc>
      </w:tr>
      <w:tr w:rsidTr="00BE30FE">
        <w:tblPrEx>
          <w:tblW w:w="0" w:type="auto"/>
          <w:tblInd w:w="40" w:type="dxa"/>
          <w:tblLayout w:type="fixed"/>
          <w:tblCellMar>
            <w:left w:w="0" w:type="dxa"/>
            <w:right w:w="0" w:type="dxa"/>
          </w:tblCellMar>
          <w:tblLook w:val="0000"/>
        </w:tblPrEx>
        <w:trPr>
          <w:trHeight w:val="98"/>
        </w:trPr>
        <w:tc>
          <w:tcPr>
            <w:tcW w:w="23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5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17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bl>
    <w:p w:rsidR="00A45A05" w:rsidRPr="007C5F5A" w:rsidP="00A45A05">
      <w:pPr>
        <w:widowControl w:val="0"/>
        <w:autoSpaceDE w:val="0"/>
        <w:autoSpaceDN w:val="0"/>
        <w:adjustRightInd w:val="0"/>
        <w:spacing w:after="0" w:line="321"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ind w:left="60" w:right="460" w:firstLine="45"/>
        <w:rPr>
          <w:rFonts w:ascii="Times New Roman" w:hAnsi="Times New Roman"/>
          <w:sz w:val="24"/>
          <w:szCs w:val="24"/>
        </w:rPr>
      </w:pPr>
      <w:r w:rsidRPr="007C5F5A">
        <w:rPr>
          <w:rFonts w:ascii="Arial" w:hAnsi="Arial" w:cs="Arial"/>
          <w:color w:val="1F1A17"/>
          <w:sz w:val="16"/>
          <w:szCs w:val="16"/>
        </w:rPr>
        <w:t xml:space="preserve">*Tekstil ve ham madde: ham ürün, pamuk iplik, ev tekstili, sentetik iplikler, lifler, aksesuar ve teknik tekstil </w:t>
      </w:r>
    </w:p>
    <w:p w:rsidR="00A45A05" w:rsidRPr="007C5F5A" w:rsidP="00A45A05">
      <w:pPr>
        <w:widowControl w:val="0"/>
        <w:autoSpaceDE w:val="0"/>
        <w:autoSpaceDN w:val="0"/>
        <w:adjustRightInd w:val="0"/>
        <w:spacing w:after="0" w:line="11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i/>
          <w:iCs/>
          <w:color w:val="1F1A17"/>
          <w:sz w:val="17"/>
          <w:szCs w:val="17"/>
        </w:rPr>
        <w:t>Kaynak: Türkiye İhracatçılar Meclisi (TIM)</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080" w:bottom="320" w:left="3380" w:header="708" w:footer="708" w:gutter="0"/>
          <w:cols w:space="708" w:equalWidth="0">
            <w:col w:w="796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0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İlişkiler:Gelecek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2816" behindDoc="1" locked="0" layoutInCell="0" allowOverlap="1">
            <wp:simplePos x="0" y="0"/>
            <wp:positionH relativeFrom="page">
              <wp:posOffset>0</wp:posOffset>
            </wp:positionH>
            <wp:positionV relativeFrom="page">
              <wp:posOffset>377190</wp:posOffset>
            </wp:positionV>
            <wp:extent cx="7880350" cy="9897110"/>
            <wp:effectExtent l="0" t="0" r="0" b="0"/>
            <wp:wrapNone/>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21408" name="Picture 158"/>
                    <pic:cNvPicPr>
                      <a:picLocks noChangeAspect="1" noChangeArrowheads="1"/>
                    </pic:cNvPicPr>
                  </pic:nvPicPr>
                  <pic:blipFill>
                    <a:blip xmlns:r="http://schemas.openxmlformats.org/officeDocument/2006/relationships" r:embed="rId1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Arial" w:hAnsi="Arial" w:cs="Arial"/>
          <w:color w:val="1F1A17"/>
        </w:rPr>
      </w:pPr>
      <w:r w:rsidRPr="007C5F5A">
        <w:rPr>
          <w:rFonts w:ascii="Arial" w:hAnsi="Arial" w:cs="Arial"/>
          <w:color w:val="1F1A17"/>
        </w:rPr>
        <w:t xml:space="preserve">Türkiye dünyanın 6. Büyük hazır giyim ve kıyafet imalatçısı ve Çin’den sonra Avrupa Birliğinin ikinci büyük </w:t>
      </w:r>
      <w:r w:rsidRPr="007C5F5A" w:rsidR="00493D0A">
        <w:rPr>
          <w:rFonts w:ascii="Arial" w:hAnsi="Arial" w:cs="Arial"/>
          <w:color w:val="1F1A17"/>
        </w:rPr>
        <w:t>tedarikçisidir. Türkiye</w:t>
      </w:r>
      <w:r w:rsidRPr="007C5F5A">
        <w:rPr>
          <w:rFonts w:ascii="Arial" w:hAnsi="Arial" w:cs="Arial"/>
          <w:color w:val="1F1A17"/>
        </w:rPr>
        <w:t xml:space="preserve"> Giyim İmalatçıları Birliğine ve İhracat Promosyon Merkezine göre (YGEME), </w:t>
      </w:r>
      <w:r w:rsidRPr="007C5F5A" w:rsidR="00493D0A">
        <w:rPr>
          <w:rFonts w:ascii="Arial" w:hAnsi="Arial" w:cs="Arial"/>
          <w:color w:val="1F1A17"/>
        </w:rPr>
        <w:t>ülkede küresel</w:t>
      </w:r>
      <w:r w:rsidRPr="007C5F5A">
        <w:rPr>
          <w:rFonts w:ascii="Arial" w:hAnsi="Arial" w:cs="Arial"/>
          <w:color w:val="1F1A17"/>
        </w:rPr>
        <w:t xml:space="preserve"> giyim ihracat ticaret payının %4.3’ü, Avrupa Birliğine kıyafet satışının %6.4’ü ve </w:t>
      </w:r>
      <w:r w:rsidRPr="007C5F5A" w:rsidR="00493D0A">
        <w:rPr>
          <w:rFonts w:ascii="Arial" w:hAnsi="Arial" w:cs="Arial"/>
          <w:color w:val="1F1A17"/>
        </w:rPr>
        <w:t>ABD’ye giyim</w:t>
      </w:r>
      <w:r w:rsidRPr="007C5F5A">
        <w:rPr>
          <w:rFonts w:ascii="Arial" w:hAnsi="Arial" w:cs="Arial"/>
          <w:color w:val="1F1A17"/>
        </w:rPr>
        <w:t xml:space="preserve"> ihracatının %1.7’si kontrol edilmektedir.  </w:t>
      </w: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Endüstri,  Avrupa Birliği ve ABD’ye Çin’den </w:t>
      </w:r>
      <w:r w:rsidRPr="007C5F5A" w:rsidR="00493D0A">
        <w:rPr>
          <w:rFonts w:ascii="Arial" w:hAnsi="Arial" w:cs="Arial"/>
          <w:color w:val="1F1A17"/>
        </w:rPr>
        <w:t>gelen düşük</w:t>
      </w:r>
      <w:r w:rsidRPr="007C5F5A">
        <w:rPr>
          <w:rFonts w:ascii="Arial" w:hAnsi="Arial" w:cs="Arial"/>
          <w:color w:val="1F1A17"/>
        </w:rPr>
        <w:t xml:space="preserve"> maliyetli ürünler nedeniyle artan rekabet dolayısıyla büyük çaplı bir yeniden yapılanma altına girmiştir. Özellikle kâr oranının düştüğünü gören ve piyasasını küçülten Türkiye'nin ağır hasar almış olan asıl tekstil piyasası.</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Yine </w:t>
      </w:r>
      <w:r w:rsidRPr="007C5F5A" w:rsidR="00493D0A">
        <w:rPr>
          <w:rFonts w:ascii="Arial" w:hAnsi="Arial" w:cs="Arial"/>
          <w:color w:val="1F1A17"/>
        </w:rPr>
        <w:t>de, Türkiye’nin</w:t>
      </w:r>
      <w:r w:rsidRPr="007C5F5A">
        <w:rPr>
          <w:rFonts w:ascii="Arial" w:hAnsi="Arial" w:cs="Arial"/>
          <w:color w:val="1F1A17"/>
        </w:rPr>
        <w:t xml:space="preserve"> geniş çaplı giyim ve kıyafet </w:t>
      </w:r>
      <w:r w:rsidRPr="007C5F5A" w:rsidR="00493D0A">
        <w:rPr>
          <w:rFonts w:ascii="Arial" w:hAnsi="Arial" w:cs="Arial"/>
          <w:color w:val="1F1A17"/>
        </w:rPr>
        <w:t>endüstrisi imajını</w:t>
      </w:r>
      <w:r w:rsidRPr="007C5F5A">
        <w:rPr>
          <w:rFonts w:ascii="Arial" w:hAnsi="Arial" w:cs="Arial"/>
          <w:color w:val="1F1A17"/>
        </w:rPr>
        <w:t xml:space="preserve"> imalatçılar </w:t>
      </w:r>
      <w:r w:rsidRPr="007C5F5A" w:rsidR="00493D0A">
        <w:rPr>
          <w:rFonts w:ascii="Arial" w:hAnsi="Arial" w:cs="Arial"/>
          <w:color w:val="1F1A17"/>
        </w:rPr>
        <w:t>için kitlesel</w:t>
      </w:r>
      <w:r w:rsidRPr="007C5F5A">
        <w:rPr>
          <w:rFonts w:ascii="Arial" w:hAnsi="Arial" w:cs="Arial"/>
          <w:color w:val="1F1A17"/>
        </w:rPr>
        <w:t xml:space="preserve"> hazır giyim üreticisinden, moda evlerinden ve Batı Avrupa ile Amerika'da</w:t>
      </w:r>
      <w:r w:rsidR="00E960AF">
        <w:rPr>
          <w:rFonts w:ascii="Arial" w:hAnsi="Arial" w:cs="Arial"/>
          <w:color w:val="1F1A17"/>
        </w:rPr>
        <w:t>ki</w:t>
      </w:r>
      <w:r w:rsidRPr="007C5F5A">
        <w:rPr>
          <w:rFonts w:ascii="Arial" w:hAnsi="Arial" w:cs="Arial"/>
          <w:color w:val="1F1A17"/>
        </w:rPr>
        <w:t xml:space="preserve"> alışveriş merkezlerinden yüksek gelirli aileler için yüksek fiyatlı ürünlerin oluşmasına sebep </w:t>
      </w:r>
      <w:r w:rsidRPr="007C5F5A" w:rsidR="00493D0A">
        <w:rPr>
          <w:rFonts w:ascii="Arial" w:hAnsi="Arial" w:cs="Arial"/>
          <w:color w:val="1F1A17"/>
        </w:rPr>
        <w:t>olan yeni</w:t>
      </w:r>
      <w:r w:rsidRPr="007C5F5A">
        <w:rPr>
          <w:rFonts w:ascii="Arial" w:hAnsi="Arial" w:cs="Arial"/>
          <w:color w:val="1F1A17"/>
        </w:rPr>
        <w:t xml:space="preserve"> tasarımların, modaların ve kaliteli markaların yaratıcısı ve perakendecisi haline getirilmektedir.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jc w:val="both"/>
        <w:rPr>
          <w:rFonts w:ascii="Times New Roman" w:hAnsi="Times New Roman"/>
          <w:sz w:val="24"/>
          <w:szCs w:val="24"/>
        </w:rPr>
      </w:pPr>
      <w:r w:rsidRPr="007C5F5A">
        <w:rPr>
          <w:rFonts w:ascii="Arial" w:hAnsi="Arial" w:cs="Arial"/>
          <w:color w:val="1F1A17"/>
        </w:rPr>
        <w:t>Kaliteli tasarım</w:t>
      </w:r>
      <w:r w:rsidRPr="007C5F5A">
        <w:rPr>
          <w:rFonts w:ascii="Arial" w:hAnsi="Arial" w:cs="Arial"/>
          <w:color w:val="1F1A17"/>
        </w:rPr>
        <w:t xml:space="preserve"> ve üretim, yönetim, pazarlama ve dağıtım gibi alanlar için yabancı yatırım </w:t>
      </w:r>
      <w:r w:rsidRPr="007C5F5A">
        <w:rPr>
          <w:rFonts w:ascii="Arial" w:hAnsi="Arial" w:cs="Arial"/>
          <w:color w:val="1F1A17"/>
        </w:rPr>
        <w:t>ve ortaklık</w:t>
      </w:r>
      <w:r w:rsidRPr="007C5F5A">
        <w:rPr>
          <w:rFonts w:ascii="Arial" w:hAnsi="Arial" w:cs="Arial"/>
          <w:color w:val="1F1A17"/>
        </w:rPr>
        <w:t xml:space="preserve"> koşulları hazırdır. Avrupalı ve Türk firmaların ortaklığı günümüzde genel geçerdir. 294 yabancı sahipli firma sektörde </w:t>
      </w:r>
      <w:r w:rsidRPr="007C5F5A">
        <w:rPr>
          <w:rFonts w:ascii="Arial" w:hAnsi="Arial" w:cs="Arial"/>
          <w:color w:val="1F1A17"/>
        </w:rPr>
        <w:t>çalışmaktadır. Hugo</w:t>
      </w:r>
      <w:r w:rsidRPr="007C5F5A">
        <w:rPr>
          <w:rFonts w:ascii="Arial" w:hAnsi="Arial" w:cs="Arial"/>
          <w:color w:val="1F1A17"/>
        </w:rPr>
        <w:t xml:space="preserve">Boss ve Levı Strauss gibi batılı imalatçıların çoğu </w:t>
      </w:r>
      <w:r w:rsidRPr="007C5F5A">
        <w:rPr>
          <w:rFonts w:ascii="Arial" w:hAnsi="Arial" w:cs="Arial"/>
          <w:color w:val="1F1A17"/>
        </w:rPr>
        <w:t>Türkiye’de</w:t>
      </w:r>
      <w:r w:rsidRPr="007C5F5A">
        <w:rPr>
          <w:rFonts w:ascii="Arial" w:hAnsi="Arial" w:cs="Arial"/>
          <w:color w:val="1F1A17"/>
        </w:rPr>
        <w:t xml:space="preserve"> üretim işlemleri gerçekleştirmektedir.  Marks andSpencer, JC Penny, ve Sears gibi yabancı markalar ve hipermarketler Türkiye’de satın alma daireleri açmakta ya da taraflarınca satın alımı sağlayacak aracılar bulundurmaktadır. GAP, Next, ve Nike gibi şirketler de (dünya çapındaki ağları için) doğrudan Türk üreticilerden alım yapmaktadır. Bu firmaların </w:t>
      </w:r>
      <w:r w:rsidRPr="007C5F5A">
        <w:rPr>
          <w:rFonts w:ascii="Arial" w:hAnsi="Arial" w:cs="Arial"/>
          <w:color w:val="1F1A17"/>
        </w:rPr>
        <w:t>Türkiye’de</w:t>
      </w:r>
      <w:r w:rsidRPr="007C5F5A">
        <w:rPr>
          <w:rFonts w:ascii="Arial" w:hAnsi="Arial" w:cs="Arial"/>
          <w:color w:val="1F1A17"/>
        </w:rPr>
        <w:t xml:space="preserve"> oluşu, ülkeyi aşırı değerlenmiş Türk Lirası nedeniyle rekabeti ağır şekilde kaybetmekten bir yere kadar koruyabilmiştir.  </w:t>
      </w:r>
    </w:p>
    <w:p w:rsidR="00A45A05" w:rsidRPr="007C5F5A" w:rsidP="00A45A05">
      <w:pPr>
        <w:widowControl w:val="0"/>
        <w:autoSpaceDE w:val="0"/>
        <w:autoSpaceDN w:val="0"/>
        <w:adjustRightInd w:val="0"/>
        <w:spacing w:after="0" w:line="18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 xml:space="preserve">Türkiye’nin Başlıca Tekstil </w:t>
      </w:r>
      <w:r w:rsidRPr="007C5F5A" w:rsidR="00493D0A">
        <w:rPr>
          <w:rFonts w:ascii="Arial" w:hAnsi="Arial" w:cs="Arial"/>
          <w:b/>
          <w:bCs/>
          <w:color w:val="E87817"/>
        </w:rPr>
        <w:t>İhracatları;</w:t>
      </w:r>
    </w:p>
    <w:p w:rsidR="00A45A05" w:rsidRPr="007C5F5A" w:rsidP="00A45A05">
      <w:pPr>
        <w:widowControl w:val="0"/>
        <w:autoSpaceDE w:val="0"/>
        <w:autoSpaceDN w:val="0"/>
        <w:adjustRightInd w:val="0"/>
        <w:spacing w:after="0" w:line="337" w:lineRule="exact"/>
        <w:rPr>
          <w:rFonts w:ascii="Times New Roman" w:hAnsi="Times New Roman"/>
          <w:sz w:val="24"/>
          <w:szCs w:val="24"/>
        </w:rPr>
      </w:pPr>
    </w:p>
    <w:p w:rsidR="00A45A05" w:rsidP="00A45A05">
      <w:pPr>
        <w:widowControl w:val="0"/>
        <w:overflowPunct w:val="0"/>
        <w:autoSpaceDE w:val="0"/>
        <w:autoSpaceDN w:val="0"/>
        <w:adjustRightInd w:val="0"/>
        <w:spacing w:after="0" w:line="240" w:lineRule="auto"/>
        <w:ind w:left="580"/>
        <w:jc w:val="both"/>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 xml:space="preserve">Pamuk örgüler, pamuk kıyafet ve dokular </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 xml:space="preserve">Yün iplik ve dokular </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 xml:space="preserve">İpek ve Sentetik iplikler, dokular ve tel lifler </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 xml:space="preserve">Sisal lifi ve dokusu içeren Keten, Kenevir ve jüt </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 xml:space="preserve">Yer örtüleri, el yapımı ve fabrika yapımı halılar, keçe ve kilimler </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Pr>
          <w:rFonts w:ascii="Arial" w:hAnsi="Arial" w:cs="Arial"/>
          <w:color w:val="1F1A17"/>
          <w:sz w:val="18"/>
          <w:szCs w:val="18"/>
        </w:rPr>
        <w:t>Ö</w:t>
      </w:r>
      <w:r w:rsidRPr="007C5F5A">
        <w:rPr>
          <w:rFonts w:ascii="Arial" w:hAnsi="Arial" w:cs="Arial"/>
          <w:color w:val="1F1A17"/>
          <w:sz w:val="18"/>
          <w:szCs w:val="18"/>
        </w:rPr>
        <w:t>rme Giysiler</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Arial" w:hAnsi="Arial" w:cs="Arial"/>
          <w:color w:val="1F1A17"/>
          <w:sz w:val="18"/>
          <w:szCs w:val="18"/>
        </w:rPr>
      </w:pPr>
      <w:r w:rsidRPr="007C5F5A">
        <w:rPr>
          <w:rFonts w:ascii="Arial" w:hAnsi="Arial" w:cs="Arial"/>
          <w:color w:val="1F1A17"/>
          <w:sz w:val="18"/>
          <w:szCs w:val="18"/>
        </w:rPr>
        <w:t>Hazır Giyim eşyaları</w:t>
      </w:r>
    </w:p>
    <w:p w:rsidR="00A45A05" w:rsidRPr="007C5F5A" w:rsidP="00A45A05">
      <w:pPr>
        <w:widowControl w:val="0"/>
        <w:autoSpaceDE w:val="0"/>
        <w:autoSpaceDN w:val="0"/>
        <w:adjustRightInd w:val="0"/>
        <w:spacing w:after="0" w:line="113" w:lineRule="exact"/>
        <w:rPr>
          <w:rFonts w:ascii="Arial" w:hAnsi="Arial" w:cs="Arial"/>
          <w:color w:val="1F1A17"/>
          <w:sz w:val="18"/>
          <w:szCs w:val="18"/>
        </w:rPr>
      </w:pPr>
    </w:p>
    <w:p w:rsidR="00A45A05" w:rsidRPr="007C5F5A" w:rsidP="00A45A05">
      <w:pPr>
        <w:widowControl w:val="0"/>
        <w:numPr>
          <w:ilvl w:val="0"/>
          <w:numId w:val="23"/>
        </w:numPr>
        <w:tabs>
          <w:tab w:val="num" w:pos="580"/>
          <w:tab w:val="clear" w:pos="720"/>
        </w:tabs>
        <w:overflowPunct w:val="0"/>
        <w:autoSpaceDE w:val="0"/>
        <w:autoSpaceDN w:val="0"/>
        <w:adjustRightInd w:val="0"/>
        <w:spacing w:after="0" w:line="240" w:lineRule="auto"/>
        <w:ind w:left="580" w:hanging="362"/>
        <w:jc w:val="both"/>
        <w:rPr>
          <w:rFonts w:ascii="Times New Roman" w:hAnsi="Times New Roman"/>
          <w:sz w:val="24"/>
          <w:szCs w:val="24"/>
        </w:rPr>
        <w:sectPr>
          <w:pgSz w:w="12420" w:h="16180"/>
          <w:pgMar w:top="1440" w:right="1120" w:bottom="320" w:left="3380" w:header="708" w:footer="708" w:gutter="0"/>
          <w:cols w:space="708" w:equalWidth="0">
            <w:col w:w="7920"/>
          </w:cols>
          <w:noEndnote/>
        </w:sectPr>
      </w:pPr>
      <w:r w:rsidRPr="007C5F5A">
        <w:rPr>
          <w:rFonts w:ascii="Arial" w:hAnsi="Arial" w:cs="Arial"/>
          <w:color w:val="1F1A17"/>
          <w:sz w:val="18"/>
          <w:szCs w:val="18"/>
        </w:rPr>
        <w:t>Deri ve ayak eşyaları</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72"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880350" cy="9446895"/>
            <wp:effectExtent l="0" t="0" r="0" b="0"/>
            <wp:wrapNone/>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7311" name="Picture 159"/>
                    <pic:cNvPicPr>
                      <a:picLocks noChangeAspect="1" noChangeArrowheads="1"/>
                    </pic:cNvPicPr>
                  </pic:nvPicPr>
                  <pic:blipFill>
                    <a:blip xmlns:r="http://schemas.openxmlformats.org/officeDocument/2006/relationships" r:embed="rId2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jc w:val="both"/>
        <w:rPr>
          <w:rFonts w:ascii="Times New Roman" w:hAnsi="Times New Roman"/>
          <w:sz w:val="24"/>
          <w:szCs w:val="24"/>
        </w:rPr>
      </w:pPr>
      <w:r w:rsidRPr="007C5F5A">
        <w:rPr>
          <w:rFonts w:ascii="Arial" w:hAnsi="Arial" w:cs="Arial"/>
          <w:color w:val="1F1A17"/>
        </w:rPr>
        <w:t xml:space="preserve">Türkiye, son yirmi yıldır Versace’denBenetton’a, Wal-MartandCarrefour’a  Avrupalı ve Amerikan moda evleri, giysi imalatçıları ve satıcılarının büyük bir kısmına giysi ve hazır giyim üretimi </w:t>
      </w:r>
      <w:r w:rsidRPr="007C5F5A" w:rsidR="00493D0A">
        <w:rPr>
          <w:rFonts w:ascii="Arial" w:hAnsi="Arial" w:cs="Arial"/>
          <w:color w:val="1F1A17"/>
        </w:rPr>
        <w:t>yapmaktadır. Ülkenin</w:t>
      </w:r>
      <w:r w:rsidRPr="007C5F5A">
        <w:rPr>
          <w:rFonts w:ascii="Arial" w:hAnsi="Arial" w:cs="Arial"/>
          <w:color w:val="1F1A17"/>
        </w:rPr>
        <w:t xml:space="preserve"> %50’si, 73.711 milyon kişi 28</w:t>
      </w:r>
      <w:r w:rsidR="00493D0A">
        <w:rPr>
          <w:rFonts w:ascii="Arial" w:hAnsi="Arial" w:cs="Arial"/>
          <w:color w:val="1F1A17"/>
        </w:rPr>
        <w:t xml:space="preserve"> yaşının altında ve Avrupalı, Do</w:t>
      </w:r>
      <w:r w:rsidRPr="007C5F5A">
        <w:rPr>
          <w:rFonts w:ascii="Arial" w:hAnsi="Arial" w:cs="Arial"/>
          <w:color w:val="1F1A17"/>
        </w:rPr>
        <w:t xml:space="preserve">ğu Avrupalı, Orta Doğulu ve Afrikalı iyi marketlerle yoğun şekilde ilgilenmesi ülkeyi yabancı yatırım adına mükemmel bir üs haline getirmektedir. </w:t>
      </w:r>
    </w:p>
    <w:p w:rsidR="00A45A05" w:rsidRPr="007C5F5A" w:rsidP="00A45A05">
      <w:pPr>
        <w:widowControl w:val="0"/>
        <w:autoSpaceDE w:val="0"/>
        <w:autoSpaceDN w:val="0"/>
        <w:adjustRightInd w:val="0"/>
        <w:spacing w:after="0" w:line="224"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jc w:val="both"/>
        <w:rPr>
          <w:rFonts w:ascii="Times New Roman" w:hAnsi="Times New Roman"/>
          <w:sz w:val="24"/>
          <w:szCs w:val="24"/>
        </w:rPr>
      </w:pPr>
      <w:r w:rsidRPr="007C5F5A">
        <w:rPr>
          <w:rFonts w:ascii="Arial" w:hAnsi="Arial" w:cs="Arial"/>
          <w:color w:val="1F1A17"/>
        </w:rPr>
        <w:t>Türk ihraç</w:t>
      </w:r>
      <w:r w:rsidRPr="007C5F5A">
        <w:rPr>
          <w:rFonts w:ascii="Arial" w:hAnsi="Arial" w:cs="Arial"/>
          <w:color w:val="1F1A17"/>
        </w:rPr>
        <w:t xml:space="preserve"> malları için ilk sıradaki beş yabancı market Almanya, ABD, Rusya, İngiltere ve </w:t>
      </w:r>
      <w:r w:rsidRPr="007C5F5A">
        <w:rPr>
          <w:rFonts w:ascii="Arial" w:hAnsi="Arial" w:cs="Arial"/>
          <w:color w:val="1F1A17"/>
        </w:rPr>
        <w:t>Fransa’dır</w:t>
      </w:r>
      <w:r w:rsidRPr="007C5F5A">
        <w:rPr>
          <w:rFonts w:ascii="Arial" w:hAnsi="Arial" w:cs="Arial"/>
          <w:color w:val="1F1A17"/>
        </w:rPr>
        <w:t xml:space="preserve">. </w:t>
      </w:r>
    </w:p>
    <w:p w:rsidR="00A45A05" w:rsidRPr="007C5F5A" w:rsidP="00A45A05">
      <w:pPr>
        <w:widowControl w:val="0"/>
        <w:autoSpaceDE w:val="0"/>
        <w:autoSpaceDN w:val="0"/>
        <w:adjustRightInd w:val="0"/>
        <w:spacing w:after="0" w:line="211"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ind w:firstLine="56"/>
        <w:jc w:val="both"/>
        <w:rPr>
          <w:rFonts w:ascii="Times New Roman" w:hAnsi="Times New Roman"/>
          <w:sz w:val="24"/>
          <w:szCs w:val="24"/>
        </w:rPr>
      </w:pPr>
      <w:r w:rsidRPr="007C5F5A">
        <w:rPr>
          <w:rFonts w:ascii="Arial" w:hAnsi="Arial" w:cs="Arial"/>
          <w:color w:val="1F1A17"/>
        </w:rPr>
        <w:t xml:space="preserve">Türkiye çoğunlukla ham ürün, pamuk iplik, sentetik lifler ve iplikler olmak üzere giyim ve tekstil ithalatı da yapmaktadır. İthal kıyafetlerin büyük bir kısmı, İtalya, İspanya, Çin, İngiltere, Almanya, Fransa, Bulgaristan, Hindistan, Yunanistan ve Hollanda’dan gelmektedir. Tekstil ithalatı </w:t>
      </w:r>
      <w:r w:rsidRPr="007C5F5A" w:rsidR="00493D0A">
        <w:rPr>
          <w:rFonts w:ascii="Arial" w:hAnsi="Arial" w:cs="Arial"/>
          <w:color w:val="1F1A17"/>
        </w:rPr>
        <w:t>ise çoğunlukla</w:t>
      </w:r>
      <w:r w:rsidRPr="007C5F5A">
        <w:rPr>
          <w:rFonts w:ascii="Arial" w:hAnsi="Arial" w:cs="Arial"/>
          <w:color w:val="1F1A17"/>
        </w:rPr>
        <w:t xml:space="preserve"> ABD, İtalya, Almanya, Çin, Güney Kore, </w:t>
      </w:r>
      <w:r w:rsidRPr="007C5F5A" w:rsidR="00493D0A">
        <w:rPr>
          <w:rFonts w:ascii="Arial" w:hAnsi="Arial" w:cs="Arial"/>
          <w:color w:val="1F1A17"/>
        </w:rPr>
        <w:t>Pakistan, Endonezya ve</w:t>
      </w:r>
      <w:r w:rsidRPr="007C5F5A">
        <w:rPr>
          <w:rFonts w:ascii="Arial" w:hAnsi="Arial" w:cs="Arial"/>
          <w:color w:val="1F1A17"/>
        </w:rPr>
        <w:t xml:space="preserve"> Yunanistan ile </w:t>
      </w:r>
      <w:r w:rsidRPr="007C5F5A" w:rsidR="00493D0A">
        <w:rPr>
          <w:rFonts w:ascii="Arial" w:hAnsi="Arial" w:cs="Arial"/>
          <w:color w:val="1F1A17"/>
        </w:rPr>
        <w:t>yapılmaktadır. TÜYK</w:t>
      </w:r>
      <w:r w:rsidRPr="007C5F5A">
        <w:rPr>
          <w:rFonts w:ascii="Arial" w:hAnsi="Arial" w:cs="Arial"/>
          <w:color w:val="1F1A17"/>
        </w:rPr>
        <w:t xml:space="preserve"> raporuna göre 2010 yılında 2.557 milyar tekstil ve giyim ithalatı </w:t>
      </w:r>
      <w:r w:rsidRPr="007C5F5A" w:rsidR="00493D0A">
        <w:rPr>
          <w:rFonts w:ascii="Arial" w:hAnsi="Arial" w:cs="Arial"/>
          <w:color w:val="1F1A17"/>
        </w:rPr>
        <w:t>yapılmıştır.</w:t>
      </w:r>
      <w:r w:rsidRPr="007C5F5A">
        <w:rPr>
          <w:rFonts w:ascii="Arial" w:hAnsi="Arial" w:cs="Arial"/>
          <w:color w:val="1F1A17"/>
        </w:rPr>
        <w:t xml:space="preserve"> Ayrıca bu ülke büyük pamuk ithalatçısıdır.2010 yılında, pamuk ithalatı </w:t>
      </w:r>
      <w:r w:rsidRPr="007C5F5A" w:rsidR="00493D0A">
        <w:rPr>
          <w:rFonts w:ascii="Arial" w:hAnsi="Arial" w:cs="Arial"/>
          <w:color w:val="1F1A17"/>
        </w:rPr>
        <w:t>için 3</w:t>
      </w:r>
      <w:r w:rsidRPr="007C5F5A">
        <w:rPr>
          <w:rFonts w:ascii="Arial" w:hAnsi="Arial" w:cs="Arial"/>
          <w:color w:val="1F1A17"/>
        </w:rPr>
        <w:t xml:space="preserve">.385 milyar ABD doları ödemiştir. Türk kıyafet </w:t>
      </w:r>
      <w:r w:rsidRPr="007C5F5A" w:rsidR="00493D0A">
        <w:rPr>
          <w:rFonts w:ascii="Arial" w:hAnsi="Arial" w:cs="Arial"/>
          <w:color w:val="1F1A17"/>
        </w:rPr>
        <w:t>üreticileri, ürünlerini</w:t>
      </w:r>
      <w:r w:rsidRPr="007C5F5A">
        <w:rPr>
          <w:rFonts w:ascii="Arial" w:hAnsi="Arial" w:cs="Arial"/>
          <w:color w:val="1F1A17"/>
        </w:rPr>
        <w:t xml:space="preserve"> ABD’de hiçbir kota ve tarifeyle karşılaşmadan satış yapabilmek için planlı özel endüstri bölgelerine kabul edilmeyi beklemektedirler.  </w:t>
      </w:r>
    </w:p>
    <w:p w:rsidR="00A45A05" w:rsidRPr="007C5F5A" w:rsidP="00A45A05">
      <w:pPr>
        <w:widowControl w:val="0"/>
        <w:autoSpaceDE w:val="0"/>
        <w:autoSpaceDN w:val="0"/>
        <w:adjustRightInd w:val="0"/>
        <w:spacing w:after="0" w:line="221"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2010 yılı, pamuk, sentetik iplik ve deri aksesuar ile ürünlerini içeren tekstil ihracatı yaklaşık 10.179 milyar ABD dolarıdır. Kıyafet ihracatı 2010 yılında %</w:t>
      </w:r>
      <w:r w:rsidRPr="007C5F5A" w:rsidR="00493D0A">
        <w:rPr>
          <w:rFonts w:ascii="Arial" w:hAnsi="Arial" w:cs="Arial"/>
          <w:color w:val="1F1A17"/>
        </w:rPr>
        <w:t>25,4</w:t>
      </w:r>
      <w:r w:rsidRPr="007C5F5A">
        <w:rPr>
          <w:rFonts w:ascii="Arial" w:hAnsi="Arial" w:cs="Arial"/>
          <w:color w:val="1F1A17"/>
        </w:rPr>
        <w:t xml:space="preserve"> CAGR </w:t>
      </w:r>
      <w:r w:rsidR="00E960AF">
        <w:rPr>
          <w:rFonts w:ascii="Arial" w:hAnsi="Arial" w:cs="Arial"/>
          <w:color w:val="1F1A17"/>
        </w:rPr>
        <w:t xml:space="preserve">(Yıllık Bileşik Büyüme Oranı) </w:t>
      </w:r>
      <w:r w:rsidRPr="007C5F5A">
        <w:rPr>
          <w:rFonts w:ascii="Arial" w:hAnsi="Arial" w:cs="Arial"/>
          <w:color w:val="1F1A17"/>
        </w:rPr>
        <w:t xml:space="preserve">ile 2.562 milyar ABD dolarına ulaşarak, 1999 ve 2005 yılları arasında hızlıca artmıştır Toplam Tekstil ve kıyafet ihraçlarının %70’i pamuk, iplik, lif, doku gibi tekstil materyalidir geriye kalanlar ise hazır giyim parça ve eşyalarıdır.  </w:t>
      </w:r>
    </w:p>
    <w:p w:rsidR="00A45A05" w:rsidRPr="007C5F5A" w:rsidP="00A45A05">
      <w:pPr>
        <w:widowControl w:val="0"/>
        <w:autoSpaceDE w:val="0"/>
        <w:autoSpaceDN w:val="0"/>
        <w:adjustRightInd w:val="0"/>
        <w:spacing w:after="0" w:line="264"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 xml:space="preserve">Tekstil ve Giyim Endüstri Büyüklüğü </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42" w:lineRule="exact"/>
        <w:rPr>
          <w:rFonts w:ascii="Times New Roman" w:hAnsi="Times New Roman"/>
          <w:sz w:val="24"/>
          <w:szCs w:val="24"/>
        </w:rPr>
      </w:pPr>
    </w:p>
    <w:tbl>
      <w:tblPr>
        <w:tblW w:w="0" w:type="auto"/>
        <w:tblInd w:w="740" w:type="dxa"/>
        <w:tblLayout w:type="fixed"/>
        <w:tblCellMar>
          <w:left w:w="0" w:type="dxa"/>
          <w:right w:w="0" w:type="dxa"/>
        </w:tblCellMar>
        <w:tblLook w:val="0000"/>
      </w:tblPr>
      <w:tblGrid>
        <w:gridCol w:w="960"/>
        <w:gridCol w:w="1100"/>
        <w:gridCol w:w="1520"/>
        <w:gridCol w:w="1860"/>
        <w:gridCol w:w="960"/>
        <w:gridCol w:w="20"/>
      </w:tblGrid>
      <w:tr w:rsidTr="00BE30FE">
        <w:tblPrEx>
          <w:tblW w:w="0" w:type="auto"/>
          <w:tblInd w:w="740" w:type="dxa"/>
          <w:tblLayout w:type="fixed"/>
          <w:tblCellMar>
            <w:left w:w="0" w:type="dxa"/>
            <w:right w:w="0" w:type="dxa"/>
          </w:tblCellMar>
          <w:tblLook w:val="0000"/>
        </w:tblPrEx>
        <w:trPr>
          <w:trHeight w:val="231"/>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0"/>
                <w:szCs w:val="20"/>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8"/>
                <w:szCs w:val="18"/>
              </w:rPr>
              <w:t>Yurtiçi</w:t>
            </w: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8"/>
                <w:szCs w:val="18"/>
              </w:rPr>
              <w:t>İhracat</w:t>
            </w:r>
          </w:p>
        </w:tc>
        <w:tc>
          <w:tcPr>
            <w:tcW w:w="9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70"/>
              <w:jc w:val="center"/>
              <w:rPr>
                <w:rFonts w:ascii="Times New Roman" w:hAnsi="Times New Roman"/>
                <w:sz w:val="24"/>
                <w:szCs w:val="24"/>
              </w:rPr>
            </w:pPr>
            <w:r w:rsidRPr="007C5F5A">
              <w:rPr>
                <w:rFonts w:ascii="Arial" w:hAnsi="Arial" w:cs="Arial"/>
                <w:color w:val="1F1A17"/>
                <w:w w:val="99"/>
                <w:sz w:val="18"/>
                <w:szCs w:val="18"/>
              </w:rPr>
              <w:t>89</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185"/>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1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9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679"/>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90"/>
              <w:jc w:val="center"/>
              <w:rPr>
                <w:rFonts w:ascii="Times New Roman" w:hAnsi="Times New Roman"/>
                <w:sz w:val="24"/>
                <w:szCs w:val="24"/>
              </w:rPr>
            </w:pPr>
            <w:r w:rsidRPr="007C5F5A">
              <w:rPr>
                <w:rFonts w:ascii="Arial" w:hAnsi="Arial" w:cs="Arial"/>
                <w:color w:val="1F1A17"/>
                <w:w w:val="99"/>
                <w:sz w:val="18"/>
                <w:szCs w:val="18"/>
              </w:rPr>
              <w:t>45</w:t>
            </w: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430"/>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1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30"/>
              <w:jc w:val="center"/>
              <w:rPr>
                <w:rFonts w:ascii="Times New Roman" w:hAnsi="Times New Roman"/>
                <w:sz w:val="24"/>
                <w:szCs w:val="24"/>
              </w:rPr>
            </w:pPr>
            <w:r w:rsidRPr="007C5F5A">
              <w:rPr>
                <w:rFonts w:ascii="Arial" w:hAnsi="Arial" w:cs="Arial"/>
                <w:color w:val="1F1A17"/>
                <w:w w:val="99"/>
                <w:sz w:val="18"/>
                <w:szCs w:val="18"/>
              </w:rPr>
              <w:t>23</w:t>
            </w: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710"/>
              <w:jc w:val="center"/>
              <w:rPr>
                <w:rFonts w:ascii="Times New Roman" w:hAnsi="Times New Roman"/>
                <w:sz w:val="24"/>
                <w:szCs w:val="24"/>
              </w:rPr>
            </w:pPr>
            <w:r w:rsidRPr="007C5F5A">
              <w:rPr>
                <w:rFonts w:ascii="Arial" w:hAnsi="Arial" w:cs="Arial"/>
                <w:color w:val="1F1A17"/>
                <w:w w:val="99"/>
                <w:sz w:val="18"/>
                <w:szCs w:val="18"/>
              </w:rPr>
              <w:t>26</w:t>
            </w: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50"/>
              <w:jc w:val="center"/>
              <w:rPr>
                <w:rFonts w:ascii="Times New Roman" w:hAnsi="Times New Roman"/>
                <w:sz w:val="24"/>
                <w:szCs w:val="24"/>
              </w:rPr>
            </w:pPr>
            <w:r w:rsidRPr="007C5F5A">
              <w:rPr>
                <w:rFonts w:ascii="Arial" w:hAnsi="Arial" w:cs="Arial"/>
                <w:color w:val="1F1A17"/>
                <w:w w:val="99"/>
                <w:sz w:val="18"/>
                <w:szCs w:val="18"/>
              </w:rPr>
              <w:t>140</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77"/>
        </w:trPr>
        <w:tc>
          <w:tcPr>
            <w:tcW w:w="9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550"/>
              <w:jc w:val="right"/>
              <w:rPr>
                <w:rFonts w:ascii="Times New Roman" w:hAnsi="Times New Roman"/>
                <w:sz w:val="24"/>
                <w:szCs w:val="24"/>
              </w:rPr>
            </w:pPr>
            <w:r w:rsidRPr="007C5F5A">
              <w:rPr>
                <w:rFonts w:ascii="Arial" w:hAnsi="Arial" w:cs="Arial"/>
                <w:color w:val="1F1A17"/>
                <w:sz w:val="18"/>
                <w:szCs w:val="18"/>
              </w:rPr>
              <w:t>16</w:t>
            </w:r>
          </w:p>
        </w:tc>
        <w:tc>
          <w:tcPr>
            <w:tcW w:w="11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90"/>
              <w:jc w:val="center"/>
              <w:rPr>
                <w:rFonts w:ascii="Times New Roman" w:hAnsi="Times New Roman"/>
                <w:sz w:val="24"/>
                <w:szCs w:val="24"/>
              </w:rPr>
            </w:pPr>
            <w:r w:rsidRPr="007C5F5A">
              <w:rPr>
                <w:rFonts w:ascii="Arial" w:hAnsi="Arial" w:cs="Arial"/>
                <w:color w:val="1F1A17"/>
                <w:w w:val="99"/>
                <w:sz w:val="18"/>
                <w:szCs w:val="18"/>
              </w:rPr>
              <w:t>89</w:t>
            </w: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197"/>
        </w:trPr>
        <w:tc>
          <w:tcPr>
            <w:tcW w:w="9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110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30"/>
              <w:jc w:val="center"/>
              <w:rPr>
                <w:rFonts w:ascii="Times New Roman" w:hAnsi="Times New Roman"/>
                <w:sz w:val="24"/>
                <w:szCs w:val="24"/>
              </w:rPr>
            </w:pPr>
            <w:r w:rsidRPr="007C5F5A">
              <w:rPr>
                <w:rFonts w:ascii="Arial" w:hAnsi="Arial" w:cs="Arial"/>
                <w:color w:val="1F1A17"/>
                <w:w w:val="99"/>
                <w:sz w:val="18"/>
                <w:szCs w:val="18"/>
              </w:rPr>
              <w:t>42</w:t>
            </w:r>
          </w:p>
        </w:tc>
        <w:tc>
          <w:tcPr>
            <w:tcW w:w="152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710"/>
              <w:jc w:val="center"/>
              <w:rPr>
                <w:rFonts w:ascii="Times New Roman" w:hAnsi="Times New Roman"/>
                <w:sz w:val="24"/>
                <w:szCs w:val="24"/>
              </w:rPr>
            </w:pPr>
            <w:r w:rsidRPr="007C5F5A">
              <w:rPr>
                <w:rFonts w:ascii="Arial" w:hAnsi="Arial" w:cs="Arial"/>
                <w:color w:val="1F1A17"/>
                <w:w w:val="99"/>
                <w:sz w:val="18"/>
                <w:szCs w:val="18"/>
              </w:rPr>
              <w:t>52</w:t>
            </w:r>
          </w:p>
        </w:tc>
        <w:tc>
          <w:tcPr>
            <w:tcW w:w="18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166"/>
        </w:trPr>
        <w:tc>
          <w:tcPr>
            <w:tcW w:w="960" w:type="dxa"/>
            <w:vMerge w:val="restart"/>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550"/>
              <w:jc w:val="right"/>
              <w:rPr>
                <w:rFonts w:ascii="Times New Roman" w:hAnsi="Times New Roman"/>
                <w:sz w:val="24"/>
                <w:szCs w:val="24"/>
              </w:rPr>
            </w:pPr>
            <w:r w:rsidRPr="007C5F5A">
              <w:rPr>
                <w:rFonts w:ascii="Arial" w:hAnsi="Arial" w:cs="Arial"/>
                <w:color w:val="1F1A17"/>
                <w:sz w:val="18"/>
                <w:szCs w:val="18"/>
              </w:rPr>
              <w:t>30</w:t>
            </w:r>
          </w:p>
        </w:tc>
        <w:tc>
          <w:tcPr>
            <w:tcW w:w="110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152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76"/>
        </w:trPr>
        <w:tc>
          <w:tcPr>
            <w:tcW w:w="960" w:type="dxa"/>
            <w:vMerge/>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1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Ind w:w="740" w:type="dxa"/>
          <w:tblLayout w:type="fixed"/>
          <w:tblCellMar>
            <w:left w:w="0" w:type="dxa"/>
            <w:right w:w="0" w:type="dxa"/>
          </w:tblCellMar>
          <w:tblLook w:val="0000"/>
        </w:tblPrEx>
        <w:trPr>
          <w:trHeight w:val="416"/>
        </w:trPr>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470"/>
              <w:jc w:val="right"/>
              <w:rPr>
                <w:rFonts w:ascii="Times New Roman" w:hAnsi="Times New Roman"/>
                <w:sz w:val="24"/>
                <w:szCs w:val="24"/>
              </w:rPr>
            </w:pPr>
            <w:r w:rsidRPr="007C5F5A">
              <w:rPr>
                <w:rFonts w:ascii="Arial" w:hAnsi="Arial" w:cs="Arial"/>
                <w:color w:val="1F1A17"/>
                <w:w w:val="94"/>
                <w:sz w:val="18"/>
                <w:szCs w:val="18"/>
              </w:rPr>
              <w:t>2000</w:t>
            </w:r>
          </w:p>
        </w:tc>
        <w:tc>
          <w:tcPr>
            <w:tcW w:w="11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30"/>
              <w:jc w:val="center"/>
              <w:rPr>
                <w:rFonts w:ascii="Times New Roman" w:hAnsi="Times New Roman"/>
                <w:sz w:val="24"/>
                <w:szCs w:val="24"/>
              </w:rPr>
            </w:pPr>
            <w:r w:rsidRPr="007C5F5A">
              <w:rPr>
                <w:rFonts w:ascii="Arial" w:hAnsi="Arial" w:cs="Arial"/>
                <w:color w:val="1F1A17"/>
                <w:w w:val="99"/>
                <w:sz w:val="18"/>
                <w:szCs w:val="18"/>
              </w:rPr>
              <w:t>2005</w:t>
            </w:r>
          </w:p>
        </w:tc>
        <w:tc>
          <w:tcPr>
            <w:tcW w:w="15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90"/>
              <w:jc w:val="center"/>
              <w:rPr>
                <w:rFonts w:ascii="Times New Roman" w:hAnsi="Times New Roman"/>
                <w:sz w:val="24"/>
                <w:szCs w:val="24"/>
              </w:rPr>
            </w:pPr>
            <w:r w:rsidRPr="007C5F5A">
              <w:rPr>
                <w:rFonts w:ascii="Arial" w:hAnsi="Arial" w:cs="Arial"/>
                <w:color w:val="1F1A17"/>
                <w:w w:val="94"/>
                <w:sz w:val="18"/>
                <w:szCs w:val="18"/>
              </w:rPr>
              <w:t>2010</w:t>
            </w:r>
          </w:p>
        </w:tc>
        <w:tc>
          <w:tcPr>
            <w:tcW w:w="18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310"/>
              <w:jc w:val="center"/>
              <w:rPr>
                <w:rFonts w:ascii="Times New Roman" w:hAnsi="Times New Roman"/>
                <w:sz w:val="24"/>
                <w:szCs w:val="24"/>
              </w:rPr>
            </w:pPr>
            <w:r w:rsidRPr="007C5F5A">
              <w:rPr>
                <w:rFonts w:ascii="Arial" w:hAnsi="Arial" w:cs="Arial"/>
                <w:color w:val="1F1A17"/>
                <w:w w:val="94"/>
                <w:sz w:val="18"/>
                <w:szCs w:val="18"/>
              </w:rPr>
              <w:t>2015</w:t>
            </w: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70"/>
              <w:jc w:val="center"/>
              <w:rPr>
                <w:rFonts w:ascii="Times New Roman" w:hAnsi="Times New Roman"/>
                <w:sz w:val="24"/>
                <w:szCs w:val="24"/>
              </w:rPr>
            </w:pPr>
            <w:r w:rsidRPr="007C5F5A">
              <w:rPr>
                <w:rFonts w:ascii="Arial" w:hAnsi="Arial" w:cs="Arial"/>
                <w:color w:val="1F1A17"/>
                <w:w w:val="99"/>
                <w:sz w:val="18"/>
                <w:szCs w:val="18"/>
              </w:rPr>
              <w:t>2020</w:t>
            </w:r>
          </w:p>
        </w:tc>
        <w:tc>
          <w:tcPr>
            <w:tcW w:w="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bl>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51"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4864" behindDoc="1" locked="0" layoutInCell="0" allowOverlap="1">
            <wp:simplePos x="0" y="0"/>
            <wp:positionH relativeFrom="page">
              <wp:posOffset>0</wp:posOffset>
            </wp:positionH>
            <wp:positionV relativeFrom="page">
              <wp:posOffset>377190</wp:posOffset>
            </wp:positionV>
            <wp:extent cx="7880350" cy="9897110"/>
            <wp:effectExtent l="0" t="0" r="0" b="0"/>
            <wp:wrapNone/>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93549" name="Picture 160"/>
                    <pic:cNvPicPr>
                      <a:picLocks noChangeAspect="1" noChangeArrowheads="1"/>
                    </pic:cNvPicPr>
                  </pic:nvPicPr>
                  <pic:blipFill>
                    <a:blip xmlns:r="http://schemas.openxmlformats.org/officeDocument/2006/relationships" r:embed="rId2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91"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E87817"/>
          <w:sz w:val="26"/>
          <w:szCs w:val="26"/>
        </w:rPr>
        <w:t>Hindistan</w:t>
      </w:r>
    </w:p>
    <w:p w:rsidR="00A45A05" w:rsidRPr="007C5F5A" w:rsidP="00A45A05">
      <w:pPr>
        <w:widowControl w:val="0"/>
        <w:autoSpaceDE w:val="0"/>
        <w:autoSpaceDN w:val="0"/>
        <w:adjustRightInd w:val="0"/>
        <w:spacing w:after="0" w:line="25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Hindistan dünyadaki</w:t>
      </w:r>
      <w:r w:rsidRPr="007C5F5A">
        <w:rPr>
          <w:rFonts w:ascii="Arial" w:hAnsi="Arial" w:cs="Arial"/>
          <w:color w:val="1F1A17"/>
        </w:rPr>
        <w:t xml:space="preserve"> ikinci büyük tekstil ve giyim ihracatçısıdır. Bu sektör ülkenin ihracat gelirlerinin %13’ünü, GDP’nin</w:t>
      </w:r>
      <w:r w:rsidR="00E960AF">
        <w:rPr>
          <w:rFonts w:ascii="Arial" w:hAnsi="Arial" w:cs="Arial"/>
          <w:color w:val="1F1A17"/>
        </w:rPr>
        <w:t xml:space="preserve">(GSYİH- Gayrı Safi Yurtiçi Hasıla) </w:t>
      </w:r>
      <w:r w:rsidRPr="007C5F5A">
        <w:rPr>
          <w:rFonts w:ascii="Arial" w:hAnsi="Arial" w:cs="Arial"/>
          <w:color w:val="1F1A17"/>
        </w:rPr>
        <w:t xml:space="preserve">%4’ünü </w:t>
      </w:r>
      <w:r w:rsidRPr="007C5F5A">
        <w:rPr>
          <w:rFonts w:ascii="Arial" w:hAnsi="Arial" w:cs="Arial"/>
          <w:color w:val="1F1A17"/>
        </w:rPr>
        <w:t>ve endüstriyel</w:t>
      </w:r>
      <w:r w:rsidRPr="007C5F5A">
        <w:rPr>
          <w:rFonts w:ascii="Arial" w:hAnsi="Arial" w:cs="Arial"/>
          <w:color w:val="1F1A17"/>
        </w:rPr>
        <w:t xml:space="preserve"> üretimin %14’ünü kapsamaktadır. Yaklaşık 45 milyon kişi ile bu endüstri ülkedeki en büyük iş kaynaklarından birini oluşturmaktadır. Yurtiçi tekstil ve giyim endüstrisinin, 2016-17 yılından itibaren 2013-14 yılındaki 67milyar ABD dolarından, 100 milyar ABD dolarına yükseleceği düşünülmektedir. </w:t>
      </w: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2013-14 yılında 64 milyar metre kare olan </w:t>
      </w:r>
      <w:r w:rsidRPr="007C5F5A" w:rsidR="00493D0A">
        <w:rPr>
          <w:rFonts w:ascii="Arial" w:hAnsi="Arial" w:cs="Arial"/>
          <w:color w:val="1F1A17"/>
        </w:rPr>
        <w:t>toplam kumaş</w:t>
      </w:r>
      <w:r w:rsidRPr="007C5F5A">
        <w:rPr>
          <w:rFonts w:ascii="Arial" w:hAnsi="Arial" w:cs="Arial"/>
          <w:color w:val="1F1A17"/>
        </w:rPr>
        <w:t xml:space="preserve"> üretiminin 2016-17 yılı itibariyle 112 milyar metre kare olması beklenmektedir. Hindistan’ın 2013-14 yılında 7 milyon ton olan iplik üretiminin ise 2016-17 itibariyle 10 milyon ton olması beklenmektedir.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Hindistan tekstil endüstrisi dünyadaki eğirmen kapasitesinin %24’ünü ve küresel çark kapasitesinin%8’ini oluşturmaktadır. Hindistan, dünyadaki dokuma </w:t>
      </w:r>
      <w:r w:rsidRPr="007C5F5A" w:rsidR="00493D0A">
        <w:rPr>
          <w:rFonts w:ascii="Arial" w:hAnsi="Arial" w:cs="Arial"/>
          <w:color w:val="1F1A17"/>
        </w:rPr>
        <w:t>tezgâhı</w:t>
      </w:r>
      <w:r w:rsidRPr="007C5F5A">
        <w:rPr>
          <w:rFonts w:ascii="Arial" w:hAnsi="Arial" w:cs="Arial"/>
          <w:color w:val="1F1A17"/>
        </w:rPr>
        <w:t xml:space="preserve"> (el dokuması </w:t>
      </w:r>
      <w:r w:rsidRPr="007C5F5A" w:rsidR="00493D0A">
        <w:rPr>
          <w:rFonts w:ascii="Arial" w:hAnsi="Arial" w:cs="Arial"/>
          <w:color w:val="1F1A17"/>
        </w:rPr>
        <w:t>dâhil</w:t>
      </w:r>
      <w:r w:rsidRPr="007C5F5A">
        <w:rPr>
          <w:rFonts w:ascii="Arial" w:hAnsi="Arial" w:cs="Arial"/>
          <w:color w:val="1F1A17"/>
        </w:rPr>
        <w:t xml:space="preserve">) pazarının %63’ünü elinde tutmaktadır. Ülke dünyadaki tekstil iplik ve lif üretiminin %14’ünü </w:t>
      </w:r>
      <w:r w:rsidRPr="007C5F5A" w:rsidR="00493D0A">
        <w:rPr>
          <w:rFonts w:ascii="Arial" w:hAnsi="Arial" w:cs="Arial"/>
          <w:color w:val="1F1A17"/>
        </w:rPr>
        <w:t>oluşturmaktadır. Hindistan</w:t>
      </w:r>
      <w:r w:rsidRPr="007C5F5A">
        <w:rPr>
          <w:rFonts w:ascii="Arial" w:hAnsi="Arial" w:cs="Arial"/>
          <w:color w:val="1F1A17"/>
        </w:rPr>
        <w:t xml:space="preserve"> üretimi, iplikten hazır giyime kadar büyük bir yelpazeyi kapsa</w:t>
      </w:r>
      <w:r w:rsidR="004376ED">
        <w:rPr>
          <w:rFonts w:ascii="Arial" w:hAnsi="Arial" w:cs="Arial"/>
          <w:color w:val="1F1A17"/>
        </w:rPr>
        <w:t>maktadı</w:t>
      </w:r>
      <w:r w:rsidRPr="007C5F5A">
        <w:rPr>
          <w:rFonts w:ascii="Arial" w:hAnsi="Arial" w:cs="Arial"/>
          <w:color w:val="1F1A17"/>
        </w:rPr>
        <w:t xml:space="preserve">r. Hint el </w:t>
      </w:r>
      <w:r w:rsidRPr="007C5F5A" w:rsidR="00493D0A">
        <w:rPr>
          <w:rFonts w:ascii="Arial" w:hAnsi="Arial" w:cs="Arial"/>
          <w:color w:val="1F1A17"/>
        </w:rPr>
        <w:t>tezgâhıve el</w:t>
      </w:r>
      <w:r w:rsidRPr="007C5F5A">
        <w:rPr>
          <w:rFonts w:ascii="Arial" w:hAnsi="Arial" w:cs="Arial"/>
          <w:color w:val="1F1A17"/>
        </w:rPr>
        <w:t xml:space="preserve"> işi paralel olmayan tasarım ve ürün yelpazesi sağlamaktadır. </w:t>
      </w:r>
    </w:p>
    <w:p w:rsidR="00A45A05" w:rsidRPr="007C5F5A" w:rsidP="00A45A05">
      <w:pPr>
        <w:widowControl w:val="0"/>
        <w:autoSpaceDE w:val="0"/>
        <w:autoSpaceDN w:val="0"/>
        <w:adjustRightInd w:val="0"/>
        <w:spacing w:after="0" w:line="240" w:lineRule="auto"/>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 xml:space="preserve">Hint Tekstil Endüstrisinin Kumaş </w:t>
      </w:r>
      <w:r w:rsidRPr="007C5F5A" w:rsidR="00493D0A">
        <w:rPr>
          <w:rFonts w:ascii="Arial" w:hAnsi="Arial" w:cs="Arial"/>
          <w:b/>
          <w:bCs/>
          <w:color w:val="E87817"/>
        </w:rPr>
        <w:t>Sektörü Toplam</w:t>
      </w:r>
      <w:r w:rsidRPr="007C5F5A">
        <w:rPr>
          <w:rFonts w:ascii="Arial" w:hAnsi="Arial" w:cs="Arial"/>
          <w:b/>
          <w:bCs/>
          <w:color w:val="E87817"/>
        </w:rPr>
        <w:t xml:space="preserve"> Üretimi</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61" w:lineRule="exact"/>
        <w:rPr>
          <w:rFonts w:ascii="Times New Roman" w:hAnsi="Times New Roman"/>
          <w:sz w:val="24"/>
          <w:szCs w:val="24"/>
        </w:rPr>
      </w:pPr>
    </w:p>
    <w:tbl>
      <w:tblPr>
        <w:tblW w:w="0" w:type="auto"/>
        <w:tblInd w:w="1480" w:type="dxa"/>
        <w:tblLayout w:type="fixed"/>
        <w:tblCellMar>
          <w:left w:w="0" w:type="dxa"/>
          <w:right w:w="0" w:type="dxa"/>
        </w:tblCellMar>
        <w:tblLook w:val="0000"/>
      </w:tblPr>
      <w:tblGrid>
        <w:gridCol w:w="1440"/>
        <w:gridCol w:w="900"/>
        <w:gridCol w:w="880"/>
        <w:gridCol w:w="880"/>
        <w:gridCol w:w="820"/>
      </w:tblGrid>
      <w:tr w:rsidTr="00BE30FE">
        <w:tblPrEx>
          <w:tblW w:w="0" w:type="auto"/>
          <w:tblInd w:w="1480" w:type="dxa"/>
          <w:tblLayout w:type="fixed"/>
          <w:tblCellMar>
            <w:left w:w="0" w:type="dxa"/>
            <w:right w:w="0" w:type="dxa"/>
          </w:tblCellMar>
          <w:tblLook w:val="0000"/>
        </w:tblPrEx>
        <w:trPr>
          <w:trHeight w:val="190"/>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20"/>
              <w:jc w:val="right"/>
              <w:rPr>
                <w:rFonts w:ascii="Times New Roman" w:hAnsi="Times New Roman"/>
                <w:sz w:val="24"/>
                <w:szCs w:val="24"/>
              </w:rPr>
            </w:pPr>
            <w:r w:rsidRPr="007C5F5A">
              <w:rPr>
                <w:rFonts w:ascii="Arial" w:hAnsi="Arial" w:cs="Arial"/>
                <w:color w:val="1F1A17"/>
                <w:w w:val="94"/>
                <w:sz w:val="16"/>
                <w:szCs w:val="16"/>
              </w:rPr>
              <w:t>55000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6"/>
                <w:szCs w:val="16"/>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20"/>
              <w:jc w:val="right"/>
              <w:rPr>
                <w:rFonts w:ascii="Times New Roman" w:hAnsi="Times New Roman"/>
                <w:sz w:val="24"/>
                <w:szCs w:val="24"/>
              </w:rPr>
            </w:pPr>
            <w:r w:rsidRPr="007C5F5A">
              <w:rPr>
                <w:rFonts w:ascii="Arial" w:hAnsi="Arial" w:cs="Arial"/>
                <w:color w:val="1F1A17"/>
                <w:w w:val="94"/>
                <w:sz w:val="16"/>
                <w:szCs w:val="16"/>
              </w:rPr>
              <w:t>50000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20"/>
              <w:jc w:val="right"/>
              <w:rPr>
                <w:rFonts w:ascii="Times New Roman" w:hAnsi="Times New Roman"/>
                <w:sz w:val="24"/>
                <w:szCs w:val="24"/>
              </w:rPr>
            </w:pPr>
            <w:r w:rsidRPr="007C5F5A">
              <w:rPr>
                <w:rFonts w:ascii="Arial" w:hAnsi="Arial" w:cs="Arial"/>
                <w:color w:val="1F1A17"/>
                <w:w w:val="94"/>
                <w:sz w:val="16"/>
                <w:szCs w:val="16"/>
              </w:rPr>
              <w:t>45000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40000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20"/>
              <w:jc w:val="right"/>
              <w:rPr>
                <w:rFonts w:ascii="Times New Roman" w:hAnsi="Times New Roman"/>
                <w:sz w:val="24"/>
                <w:szCs w:val="24"/>
              </w:rPr>
            </w:pPr>
            <w:r w:rsidRPr="007C5F5A">
              <w:rPr>
                <w:rFonts w:ascii="Arial" w:hAnsi="Arial" w:cs="Arial"/>
                <w:color w:val="1F1A17"/>
                <w:w w:val="94"/>
                <w:sz w:val="16"/>
                <w:szCs w:val="16"/>
              </w:rPr>
              <w:t>35000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30000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25000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20000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15000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w w:val="98"/>
                <w:sz w:val="16"/>
                <w:szCs w:val="16"/>
              </w:rPr>
              <w:t>10000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sz w:val="16"/>
                <w:szCs w:val="16"/>
              </w:rPr>
              <w:t>5000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26"/>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right="900"/>
              <w:jc w:val="right"/>
              <w:rPr>
                <w:rFonts w:ascii="Times New Roman" w:hAnsi="Times New Roman"/>
                <w:sz w:val="24"/>
                <w:szCs w:val="24"/>
              </w:rPr>
            </w:pPr>
            <w:r w:rsidRPr="007C5F5A">
              <w:rPr>
                <w:rFonts w:ascii="Arial" w:hAnsi="Arial" w:cs="Arial"/>
                <w:color w:val="1F1A17"/>
                <w:sz w:val="16"/>
                <w:szCs w:val="16"/>
              </w:rPr>
              <w:t>0</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19"/>
                <w:szCs w:val="19"/>
              </w:rPr>
            </w:pPr>
          </w:p>
        </w:tc>
      </w:tr>
      <w:tr w:rsidTr="00BE30FE">
        <w:tblPrEx>
          <w:tblW w:w="0" w:type="auto"/>
          <w:tblInd w:w="1480" w:type="dxa"/>
          <w:tblLayout w:type="fixed"/>
          <w:tblCellMar>
            <w:left w:w="0" w:type="dxa"/>
            <w:right w:w="0" w:type="dxa"/>
          </w:tblCellMar>
          <w:tblLook w:val="0000"/>
        </w:tblPrEx>
        <w:trPr>
          <w:trHeight w:val="201"/>
        </w:trPr>
        <w:tc>
          <w:tcPr>
            <w:tcW w:w="14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2002-2003</w:t>
            </w:r>
          </w:p>
        </w:tc>
        <w:tc>
          <w:tcPr>
            <w:tcW w:w="9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2003-2004</w:t>
            </w: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2004-2005</w:t>
            </w:r>
          </w:p>
        </w:tc>
        <w:tc>
          <w:tcPr>
            <w:tcW w:w="8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2005-2006</w:t>
            </w:r>
          </w:p>
        </w:tc>
        <w:tc>
          <w:tcPr>
            <w:tcW w:w="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jc w:val="right"/>
              <w:rPr>
                <w:rFonts w:ascii="Times New Roman" w:hAnsi="Times New Roman"/>
                <w:sz w:val="24"/>
                <w:szCs w:val="24"/>
              </w:rPr>
            </w:pPr>
            <w:r w:rsidRPr="007C5F5A">
              <w:rPr>
                <w:rFonts w:ascii="Arial" w:hAnsi="Arial" w:cs="Arial"/>
                <w:color w:val="1F1A17"/>
                <w:sz w:val="16"/>
                <w:szCs w:val="16"/>
              </w:rPr>
              <w:t>2006-2007</w:t>
            </w:r>
          </w:p>
        </w:tc>
      </w:tr>
    </w:tbl>
    <w:p w:rsidR="00A45A05" w:rsidRPr="007C5F5A" w:rsidP="00A45A05">
      <w:pPr>
        <w:widowControl w:val="0"/>
        <w:autoSpaceDE w:val="0"/>
        <w:autoSpaceDN w:val="0"/>
        <w:adjustRightInd w:val="0"/>
        <w:spacing w:after="0" w:line="216"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Hindistan tekstil endüstrisinin gücü; </w:t>
      </w:r>
      <w:r w:rsidRPr="007C5F5A" w:rsidR="00493D0A">
        <w:rPr>
          <w:rFonts w:ascii="Arial" w:hAnsi="Arial" w:cs="Arial"/>
          <w:color w:val="1F1A17"/>
        </w:rPr>
        <w:t>pamuk, iplik</w:t>
      </w:r>
      <w:r w:rsidRPr="007C5F5A">
        <w:rPr>
          <w:rFonts w:ascii="Arial" w:hAnsi="Arial" w:cs="Arial"/>
          <w:color w:val="1F1A17"/>
        </w:rPr>
        <w:t>, jüt ve yün gibi doğal iplik/liften, polyester, viskoz, naylon ve akrilik gibi insan yapımı/ sentetik ipliklere kadar geniş bir yelpazeye dayalı güçlü iplik üretim kaynaklarına dayan</w:t>
      </w:r>
      <w:r w:rsidR="004376ED">
        <w:rPr>
          <w:rFonts w:ascii="Arial" w:hAnsi="Arial" w:cs="Arial"/>
          <w:color w:val="1F1A17"/>
        </w:rPr>
        <w:t>maktad</w:t>
      </w:r>
      <w:r w:rsidRPr="007C5F5A">
        <w:rPr>
          <w:rFonts w:ascii="Arial" w:hAnsi="Arial" w:cs="Arial"/>
          <w:color w:val="1F1A17"/>
        </w:rPr>
        <w:t xml:space="preserve">ır. Hindistan jütün en büyük ipek ve pamuğun ise ikinci büyük üreticisidir.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Hindistan, makul maaşa donanımlı insan gücü avantajından yararlanmaktadır. Uygun demografik özellikler ve organize perakende satış tekstil talebini sürdürmektedir. Değişen yaşam stilleri ve kaliteli ürünlere olan rağbet artışı giyim talebini de arttırmaktadır.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2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7880350" cy="9446895"/>
            <wp:effectExtent l="0" t="0" r="0" b="0"/>
            <wp:wrapNone/>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57514" name="Picture 161"/>
                    <pic:cNvPicPr>
                      <a:picLocks noChangeAspect="1" noChangeArrowheads="1"/>
                    </pic:cNvPicPr>
                  </pic:nvPicPr>
                  <pic:blipFill>
                    <a:blip xmlns:r="http://schemas.openxmlformats.org/officeDocument/2006/relationships" r:embed="rId2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Hintli müşterilerin artan geliri ile marka farkındalığının yakın gelecekte markalı giyim pazarının iki hanelilere çıkmasını sağlayacağı düşünülmektedir. Hindistan perakende satış pazarı </w:t>
      </w:r>
      <w:r w:rsidRPr="007C5F5A" w:rsidR="00493D0A">
        <w:rPr>
          <w:rFonts w:ascii="Arial" w:hAnsi="Arial" w:cs="Arial"/>
          <w:color w:val="1F1A17"/>
        </w:rPr>
        <w:t>1,2</w:t>
      </w:r>
      <w:r w:rsidRPr="007C5F5A">
        <w:rPr>
          <w:rFonts w:ascii="Arial" w:hAnsi="Arial" w:cs="Arial"/>
          <w:color w:val="1F1A17"/>
        </w:rPr>
        <w:t xml:space="preserve"> milyar müşteri kapasitesi ile bütün küresel marka ve satıcılar için günümüzde en çekici alanlardan biri haline gelmiştir.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Hindistan hükümeti, </w:t>
      </w:r>
      <w:r w:rsidRPr="007C5F5A" w:rsidR="00493D0A">
        <w:rPr>
          <w:rFonts w:ascii="Arial" w:hAnsi="Arial" w:cs="Arial"/>
          <w:color w:val="1F1A17"/>
        </w:rPr>
        <w:t>tekstil parklarının</w:t>
      </w:r>
      <w:r w:rsidRPr="007C5F5A">
        <w:rPr>
          <w:rFonts w:ascii="Arial" w:hAnsi="Arial" w:cs="Arial"/>
          <w:color w:val="1F1A17"/>
        </w:rPr>
        <w:t>, işlem parklarının, giyim parklarının TUFS</w:t>
      </w:r>
      <w:r w:rsidR="004376ED">
        <w:rPr>
          <w:rFonts w:ascii="Arial" w:hAnsi="Arial" w:cs="Arial"/>
          <w:color w:val="1F1A17"/>
        </w:rPr>
        <w:t xml:space="preserve"> (TechnologyUpgradationFundScheme- Teknoloji Yükseltme Fonu Programı) </w:t>
      </w:r>
      <w:r w:rsidRPr="007C5F5A">
        <w:rPr>
          <w:rFonts w:ascii="Arial" w:hAnsi="Arial" w:cs="Arial"/>
          <w:color w:val="1F1A17"/>
        </w:rPr>
        <w:t xml:space="preserve"> altında kâr para yardımı ile donanım gelişimini desteklemek adına elverişli yasal düzenlemeler yapmıştır. Bu sektörü yükseltmek için, özel merkezi ve ulusal hükümet teşvik tedbirleri tekstil sektörüne açılmıştır. Beklenilen yüksek market büyüme </w:t>
      </w:r>
      <w:r w:rsidRPr="007C5F5A" w:rsidR="00493D0A">
        <w:rPr>
          <w:rFonts w:ascii="Arial" w:hAnsi="Arial" w:cs="Arial"/>
          <w:color w:val="1F1A17"/>
        </w:rPr>
        <w:t>oranıyla, teknik</w:t>
      </w:r>
      <w:r w:rsidRPr="007C5F5A">
        <w:rPr>
          <w:rFonts w:ascii="Arial" w:hAnsi="Arial" w:cs="Arial"/>
          <w:color w:val="1F1A17"/>
        </w:rPr>
        <w:t xml:space="preserve"> tekstil sektörü yatırımcılar için büyük olanaklar sağlamaktadır.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9" w:lineRule="auto"/>
        <w:jc w:val="both"/>
        <w:rPr>
          <w:rFonts w:ascii="Times New Roman" w:hAnsi="Times New Roman"/>
          <w:sz w:val="24"/>
          <w:szCs w:val="24"/>
        </w:rPr>
      </w:pPr>
      <w:r w:rsidRPr="007C5F5A">
        <w:rPr>
          <w:rFonts w:ascii="Arial" w:hAnsi="Arial" w:cs="Arial"/>
          <w:color w:val="1F1A17"/>
        </w:rPr>
        <w:t xml:space="preserve">Hint yurt içi tüketim ve ihracatı büyük bir gelişim altındadır. Bu aşamada yatırımcılar için büyük çaplı giysi fabrikalarına yatırım yapmak iyi bir tekliftir.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98" w:lineRule="auto"/>
        <w:jc w:val="both"/>
        <w:rPr>
          <w:rFonts w:ascii="Times New Roman" w:hAnsi="Times New Roman"/>
          <w:sz w:val="24"/>
          <w:szCs w:val="24"/>
        </w:rPr>
      </w:pPr>
      <w:r w:rsidRPr="007C5F5A">
        <w:rPr>
          <w:rFonts w:ascii="Arial" w:hAnsi="Arial" w:cs="Arial"/>
          <w:color w:val="1F1A17"/>
          <w:sz w:val="21"/>
          <w:szCs w:val="21"/>
        </w:rPr>
        <w:t>Çin’de</w:t>
      </w:r>
      <w:r w:rsidRPr="007C5F5A">
        <w:rPr>
          <w:rFonts w:ascii="Arial" w:hAnsi="Arial" w:cs="Arial"/>
          <w:color w:val="1F1A17"/>
          <w:sz w:val="21"/>
          <w:szCs w:val="21"/>
        </w:rPr>
        <w:t xml:space="preserve"> yükselen üretim maliyetleri ve yurt içi talep artımı ile Çin uluslararası ticarette diğer ülkelere yer vermektedir. Hindistan uygun olan tek alternatif kaynaktır ve bu andan itibaren Hint malları için ihracat pazarında genişleme olmaktadır. </w:t>
      </w:r>
    </w:p>
    <w:p w:rsidR="00A45A05" w:rsidRPr="007C5F5A" w:rsidP="00A45A05">
      <w:pPr>
        <w:widowControl w:val="0"/>
        <w:autoSpaceDE w:val="0"/>
        <w:autoSpaceDN w:val="0"/>
        <w:adjustRightInd w:val="0"/>
        <w:spacing w:after="0" w:line="325"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FFFFFF"/>
          <w:sz w:val="20"/>
          <w:szCs w:val="20"/>
        </w:rPr>
        <w:t xml:space="preserve">Hindistan içerisindeki yabancı yatırımcılar </w:t>
      </w:r>
    </w:p>
    <w:p w:rsidR="00A45A05" w:rsidRPr="007C5F5A" w:rsidP="00A45A05">
      <w:pPr>
        <w:widowControl w:val="0"/>
        <w:autoSpaceDE w:val="0"/>
        <w:autoSpaceDN w:val="0"/>
        <w:adjustRightInd w:val="0"/>
        <w:spacing w:after="0" w:line="26" w:lineRule="exact"/>
        <w:rPr>
          <w:rFonts w:ascii="Times New Roman" w:hAnsi="Times New Roman"/>
          <w:sz w:val="24"/>
          <w:szCs w:val="24"/>
        </w:rPr>
      </w:pPr>
    </w:p>
    <w:tbl>
      <w:tblPr>
        <w:tblW w:w="0" w:type="auto"/>
        <w:tblLayout w:type="fixed"/>
        <w:tblCellMar>
          <w:left w:w="0" w:type="dxa"/>
          <w:right w:w="0" w:type="dxa"/>
        </w:tblCellMar>
        <w:tblLook w:val="0000"/>
      </w:tblPr>
      <w:tblGrid>
        <w:gridCol w:w="3220"/>
        <w:gridCol w:w="4700"/>
      </w:tblGrid>
      <w:tr w:rsidTr="00BE30FE">
        <w:tblPrEx>
          <w:tblW w:w="0" w:type="auto"/>
          <w:tblLayout w:type="fixed"/>
          <w:tblCellMar>
            <w:left w:w="0" w:type="dxa"/>
            <w:right w:w="0" w:type="dxa"/>
          </w:tblCellMar>
          <w:tblLook w:val="0000"/>
        </w:tblPrEx>
        <w:trPr>
          <w:trHeight w:val="324"/>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Hugo Boss, Almanya</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LizClaiborne, USA</w:t>
            </w:r>
          </w:p>
        </w:tc>
      </w:tr>
      <w:tr w:rsidTr="00BE30FE">
        <w:tblPrEx>
          <w:tblW w:w="0" w:type="auto"/>
          <w:tblLayout w:type="fixed"/>
          <w:tblCellMar>
            <w:left w:w="0" w:type="dxa"/>
            <w:right w:w="0" w:type="dxa"/>
          </w:tblCellMar>
          <w:tblLook w:val="0000"/>
        </w:tblPrEx>
        <w:trPr>
          <w:trHeight w:val="32"/>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2"/>
                <w:szCs w:val="2"/>
              </w:rPr>
            </w:pPr>
          </w:p>
        </w:tc>
      </w:tr>
      <w:tr w:rsidTr="00BE30FE">
        <w:tblPrEx>
          <w:tblW w:w="0" w:type="auto"/>
          <w:tblLayout w:type="fixed"/>
          <w:tblCellMar>
            <w:left w:w="0" w:type="dxa"/>
            <w:right w:w="0" w:type="dxa"/>
          </w:tblCellMar>
          <w:tblLook w:val="0000"/>
        </w:tblPrEx>
        <w:trPr>
          <w:trHeight w:val="336"/>
        </w:trPr>
        <w:tc>
          <w:tcPr>
            <w:tcW w:w="322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Marzotta, Italya</w:t>
            </w:r>
          </w:p>
        </w:tc>
        <w:tc>
          <w:tcPr>
            <w:tcW w:w="4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Marks &amp;Spencer, İngiltere</w:t>
            </w:r>
          </w:p>
        </w:tc>
      </w:tr>
      <w:tr w:rsidTr="00BE30FE">
        <w:tblPrEx>
          <w:tblW w:w="0" w:type="auto"/>
          <w:tblLayout w:type="fixed"/>
          <w:tblCellMar>
            <w:left w:w="0" w:type="dxa"/>
            <w:right w:w="0" w:type="dxa"/>
          </w:tblCellMar>
          <w:tblLook w:val="0000"/>
        </w:tblPrEx>
        <w:trPr>
          <w:trHeight w:val="311"/>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JC Penny, ABD</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Gap, ABD</w:t>
            </w:r>
          </w:p>
        </w:tc>
      </w:tr>
      <w:tr w:rsidTr="00BE30FE">
        <w:tblPrEx>
          <w:tblW w:w="0" w:type="auto"/>
          <w:tblLayout w:type="fixed"/>
          <w:tblCellMar>
            <w:left w:w="0" w:type="dxa"/>
            <w:right w:w="0" w:type="dxa"/>
          </w:tblCellMar>
          <w:tblLook w:val="0000"/>
        </w:tblPrEx>
        <w:trPr>
          <w:trHeight w:val="45"/>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3"/>
                <w:szCs w:val="3"/>
              </w:rPr>
            </w:pPr>
          </w:p>
        </w:tc>
      </w:tr>
      <w:tr w:rsidTr="00BE30FE">
        <w:tblPrEx>
          <w:tblW w:w="0" w:type="auto"/>
          <w:tblLayout w:type="fixed"/>
          <w:tblCellMar>
            <w:left w:w="0" w:type="dxa"/>
            <w:right w:w="0" w:type="dxa"/>
          </w:tblCellMar>
          <w:tblLook w:val="0000"/>
        </w:tblPrEx>
        <w:trPr>
          <w:trHeight w:val="336"/>
        </w:trPr>
        <w:tc>
          <w:tcPr>
            <w:tcW w:w="322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Rieter, İsviçre</w:t>
            </w:r>
          </w:p>
        </w:tc>
        <w:tc>
          <w:tcPr>
            <w:tcW w:w="4700" w:type="dxa"/>
            <w:tcBorders>
              <w:top w:val="nil"/>
              <w:left w:val="nil"/>
              <w:bottom w:val="single" w:sz="8" w:space="0" w:color="F7C44A"/>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Trutzschler, Almanya</w:t>
            </w:r>
          </w:p>
        </w:tc>
      </w:tr>
      <w:tr w:rsidTr="00BE30FE">
        <w:tblPrEx>
          <w:tblW w:w="0" w:type="auto"/>
          <w:tblLayout w:type="fixed"/>
          <w:tblCellMar>
            <w:left w:w="0" w:type="dxa"/>
            <w:right w:w="0" w:type="dxa"/>
          </w:tblCellMar>
          <w:tblLook w:val="0000"/>
        </w:tblPrEx>
        <w:trPr>
          <w:trHeight w:val="298"/>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Soktas, Turkiye</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Zambiati, Italya</w:t>
            </w:r>
          </w:p>
        </w:tc>
      </w:tr>
      <w:tr w:rsidTr="00BE30FE">
        <w:tblPrEx>
          <w:tblW w:w="0" w:type="auto"/>
          <w:tblLayout w:type="fixed"/>
          <w:tblCellMar>
            <w:left w:w="0" w:type="dxa"/>
            <w:right w:w="0" w:type="dxa"/>
          </w:tblCellMar>
          <w:tblLook w:val="0000"/>
        </w:tblPrEx>
        <w:trPr>
          <w:trHeight w:val="58"/>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r>
      <w:tr w:rsidTr="00BE30FE">
        <w:tblPrEx>
          <w:tblW w:w="0" w:type="auto"/>
          <w:tblLayout w:type="fixed"/>
          <w:tblCellMar>
            <w:left w:w="0" w:type="dxa"/>
            <w:right w:w="0" w:type="dxa"/>
          </w:tblCellMar>
          <w:tblLook w:val="0000"/>
        </w:tblPrEx>
        <w:trPr>
          <w:trHeight w:val="292"/>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Bilsar, Turkiye</w:t>
            </w: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Monti, Italya</w:t>
            </w:r>
          </w:p>
        </w:tc>
      </w:tr>
      <w:tr w:rsidTr="00BE30FE">
        <w:tblPrEx>
          <w:tblW w:w="0" w:type="auto"/>
          <w:tblLayout w:type="fixed"/>
          <w:tblCellMar>
            <w:left w:w="0" w:type="dxa"/>
            <w:right w:w="0" w:type="dxa"/>
          </w:tblCellMar>
          <w:tblLook w:val="0000"/>
        </w:tblPrEx>
        <w:trPr>
          <w:trHeight w:val="65"/>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r>
      <w:tr w:rsidTr="00BE30FE">
        <w:tblPrEx>
          <w:tblW w:w="0" w:type="auto"/>
          <w:tblLayout w:type="fixed"/>
          <w:tblCellMar>
            <w:left w:w="0" w:type="dxa"/>
            <w:right w:w="0" w:type="dxa"/>
          </w:tblCellMar>
          <w:tblLook w:val="0000"/>
        </w:tblPrEx>
        <w:trPr>
          <w:trHeight w:val="285"/>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CMT, Morityus</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E-land, Güney Kore</w:t>
            </w:r>
          </w:p>
        </w:tc>
      </w:tr>
      <w:tr w:rsidTr="00BE30FE">
        <w:tblPrEx>
          <w:tblW w:w="0" w:type="auto"/>
          <w:tblLayout w:type="fixed"/>
          <w:tblCellMar>
            <w:left w:w="0" w:type="dxa"/>
            <w:right w:w="0" w:type="dxa"/>
          </w:tblCellMar>
          <w:tblLook w:val="0000"/>
        </w:tblPrEx>
        <w:trPr>
          <w:trHeight w:val="71"/>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9"/>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Skaps, ABD</w:t>
            </w: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Ahlstorm, ABD</w:t>
            </w:r>
          </w:p>
        </w:tc>
      </w:tr>
      <w:tr w:rsidTr="00BE30FE">
        <w:tblPrEx>
          <w:tblW w:w="0" w:type="auto"/>
          <w:tblLayout w:type="fixed"/>
          <w:tblCellMar>
            <w:left w:w="0" w:type="dxa"/>
            <w:right w:w="0" w:type="dxa"/>
          </w:tblCellMar>
          <w:tblLook w:val="0000"/>
        </w:tblPrEx>
        <w:trPr>
          <w:trHeight w:val="77"/>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73"/>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Terram, Ingiltere</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StrataGeosystems, ABD</w:t>
            </w:r>
          </w:p>
        </w:tc>
      </w:tr>
      <w:tr w:rsidTr="00BE30FE">
        <w:tblPrEx>
          <w:tblW w:w="0" w:type="auto"/>
          <w:tblLayout w:type="fixed"/>
          <w:tblCellMar>
            <w:left w:w="0" w:type="dxa"/>
            <w:right w:w="0" w:type="dxa"/>
          </w:tblCellMar>
          <w:tblLook w:val="0000"/>
        </w:tblPrEx>
        <w:trPr>
          <w:trHeight w:val="84"/>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66"/>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Nissinbo, Japonya</w:t>
            </w: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Marubeni, Japonya</w:t>
            </w:r>
          </w:p>
        </w:tc>
      </w:tr>
      <w:tr w:rsidTr="00BE30FE">
        <w:tblPrEx>
          <w:tblW w:w="0" w:type="auto"/>
          <w:tblLayout w:type="fixed"/>
          <w:tblCellMar>
            <w:left w:w="0" w:type="dxa"/>
            <w:right w:w="0" w:type="dxa"/>
          </w:tblCellMar>
          <w:tblLook w:val="0000"/>
        </w:tblPrEx>
        <w:trPr>
          <w:trHeight w:val="90"/>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60"/>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Benetton, Italya</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Esprit, ABD</w:t>
            </w:r>
          </w:p>
        </w:tc>
      </w:tr>
      <w:tr w:rsidTr="00BE30FE">
        <w:tblPrEx>
          <w:tblW w:w="0" w:type="auto"/>
          <w:tblLayout w:type="fixed"/>
          <w:tblCellMar>
            <w:left w:w="0" w:type="dxa"/>
            <w:right w:w="0" w:type="dxa"/>
          </w:tblCellMar>
          <w:tblLook w:val="0000"/>
        </w:tblPrEx>
        <w:trPr>
          <w:trHeight w:val="97"/>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Layout w:type="fixed"/>
          <w:tblCellMar>
            <w:left w:w="0" w:type="dxa"/>
            <w:right w:w="0" w:type="dxa"/>
          </w:tblCellMar>
          <w:tblLook w:val="0000"/>
        </w:tblPrEx>
        <w:trPr>
          <w:trHeight w:val="253"/>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Benetton, Italya</w:t>
            </w: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Levi’s, ABD</w:t>
            </w:r>
          </w:p>
        </w:tc>
      </w:tr>
      <w:tr w:rsidTr="00BE30FE">
        <w:tblPrEx>
          <w:tblW w:w="0" w:type="auto"/>
          <w:tblLayout w:type="fixed"/>
          <w:tblCellMar>
            <w:left w:w="0" w:type="dxa"/>
            <w:right w:w="0" w:type="dxa"/>
          </w:tblCellMar>
          <w:tblLook w:val="0000"/>
        </w:tblPrEx>
        <w:trPr>
          <w:trHeight w:val="103"/>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8"/>
                <w:szCs w:val="8"/>
              </w:rPr>
            </w:pPr>
          </w:p>
        </w:tc>
      </w:tr>
      <w:tr w:rsidTr="00BE30FE">
        <w:tblPrEx>
          <w:tblW w:w="0" w:type="auto"/>
          <w:tblLayout w:type="fixed"/>
          <w:tblCellMar>
            <w:left w:w="0" w:type="dxa"/>
            <w:right w:w="0" w:type="dxa"/>
          </w:tblCellMar>
          <w:tblLook w:val="0000"/>
        </w:tblPrEx>
        <w:trPr>
          <w:trHeight w:val="247"/>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Zara, İspanya</w:t>
            </w: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Mango, İspanya</w:t>
            </w:r>
          </w:p>
        </w:tc>
      </w:tr>
      <w:tr w:rsidTr="00BE30FE">
        <w:tblPrEx>
          <w:tblW w:w="0" w:type="auto"/>
          <w:tblLayout w:type="fixed"/>
          <w:tblCellMar>
            <w:left w:w="0" w:type="dxa"/>
            <w:right w:w="0" w:type="dxa"/>
          </w:tblCellMar>
          <w:tblLook w:val="0000"/>
        </w:tblPrEx>
        <w:trPr>
          <w:trHeight w:val="110"/>
        </w:trPr>
        <w:tc>
          <w:tcPr>
            <w:tcW w:w="32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c>
          <w:tcPr>
            <w:tcW w:w="47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9"/>
                <w:szCs w:val="9"/>
              </w:rPr>
            </w:pPr>
          </w:p>
        </w:tc>
      </w:tr>
      <w:tr w:rsidTr="00BE30FE">
        <w:tblPrEx>
          <w:tblW w:w="0" w:type="auto"/>
          <w:tblLayout w:type="fixed"/>
          <w:tblCellMar>
            <w:left w:w="0" w:type="dxa"/>
            <w:right w:w="0" w:type="dxa"/>
          </w:tblCellMar>
          <w:tblLook w:val="0000"/>
        </w:tblPrEx>
        <w:trPr>
          <w:trHeight w:val="240"/>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8"/>
                <w:szCs w:val="18"/>
              </w:rPr>
              <w:t>Jockey, ABD</w:t>
            </w: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0"/>
              <w:rPr>
                <w:rFonts w:ascii="Times New Roman" w:hAnsi="Times New Roman"/>
                <w:sz w:val="24"/>
                <w:szCs w:val="24"/>
              </w:rPr>
            </w:pPr>
            <w:r w:rsidRPr="007C5F5A">
              <w:rPr>
                <w:rFonts w:ascii="Arial" w:hAnsi="Arial" w:cs="Arial"/>
                <w:color w:val="1F1A17"/>
                <w:sz w:val="18"/>
                <w:szCs w:val="18"/>
              </w:rPr>
              <w:t>Levi Strauss, ABD</w:t>
            </w:r>
          </w:p>
        </w:tc>
      </w:tr>
      <w:tr w:rsidTr="00BE30FE">
        <w:tblPrEx>
          <w:tblW w:w="0" w:type="auto"/>
          <w:tblLayout w:type="fixed"/>
          <w:tblCellMar>
            <w:left w:w="0" w:type="dxa"/>
            <w:right w:w="0" w:type="dxa"/>
          </w:tblCellMar>
          <w:tblLook w:val="0000"/>
        </w:tblPrEx>
        <w:trPr>
          <w:trHeight w:val="116"/>
        </w:trPr>
        <w:tc>
          <w:tcPr>
            <w:tcW w:w="32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c>
          <w:tcPr>
            <w:tcW w:w="47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10"/>
                <w:szCs w:val="10"/>
              </w:rPr>
            </w:pPr>
          </w:p>
        </w:tc>
      </w:tr>
    </w:tbl>
    <w:p w:rsidR="00A45A05" w:rsidRPr="007C5F5A" w:rsidP="00A45A05">
      <w:pPr>
        <w:widowControl w:val="0"/>
        <w:autoSpaceDE w:val="0"/>
        <w:autoSpaceDN w:val="0"/>
        <w:adjustRightInd w:val="0"/>
        <w:spacing w:after="0" w:line="232"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jc w:val="both"/>
        <w:rPr>
          <w:rFonts w:ascii="Times New Roman" w:hAnsi="Times New Roman"/>
          <w:sz w:val="24"/>
          <w:szCs w:val="24"/>
        </w:rPr>
      </w:pPr>
      <w:r w:rsidRPr="007C5F5A">
        <w:rPr>
          <w:rFonts w:ascii="Arial" w:hAnsi="Arial" w:cs="Arial"/>
          <w:color w:val="1F1A17"/>
        </w:rPr>
        <w:t>Uygulamadaki yasa ve kurallarda adı geçen tekstil sektöründe otomatik rota altında %100 FDI’a</w:t>
      </w:r>
      <w:r w:rsidR="004376ED">
        <w:rPr>
          <w:rFonts w:ascii="Arial" w:hAnsi="Arial" w:cs="Arial"/>
          <w:color w:val="1F1A17"/>
        </w:rPr>
        <w:t xml:space="preserve">(Yabancı Doğrudan Yatırım) </w:t>
      </w:r>
      <w:r w:rsidRPr="007C5F5A">
        <w:rPr>
          <w:rFonts w:ascii="Arial" w:hAnsi="Arial" w:cs="Arial"/>
          <w:color w:val="1F1A17"/>
        </w:rPr>
        <w:t xml:space="preserve">izin verilmiştir.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59"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493D0A">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6912" behindDoc="1" locked="0" layoutInCell="0" allowOverlap="1">
            <wp:simplePos x="0" y="0"/>
            <wp:positionH relativeFrom="page">
              <wp:posOffset>0</wp:posOffset>
            </wp:positionH>
            <wp:positionV relativeFrom="page">
              <wp:posOffset>377190</wp:posOffset>
            </wp:positionV>
            <wp:extent cx="7880350" cy="9897110"/>
            <wp:effectExtent l="0" t="0" r="0" b="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4241" name="Picture 162"/>
                    <pic:cNvPicPr>
                      <a:picLocks noChangeAspect="1" noChangeArrowheads="1"/>
                    </pic:cNvPicPr>
                  </pic:nvPicPr>
                  <pic:blipFill>
                    <a:blip xmlns:r="http://schemas.openxmlformats.org/officeDocument/2006/relationships" r:embed="rId2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351"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0A408A"/>
          <w:sz w:val="30"/>
          <w:szCs w:val="30"/>
        </w:rPr>
        <w:t xml:space="preserve">Mermer, Seramik &amp; Banyo Malzemeleri ve Zücaciye </w:t>
      </w:r>
    </w:p>
    <w:p w:rsidR="00A45A05" w:rsidRPr="007C5F5A" w:rsidP="00A45A05">
      <w:pPr>
        <w:widowControl w:val="0"/>
        <w:autoSpaceDE w:val="0"/>
        <w:autoSpaceDN w:val="0"/>
        <w:adjustRightInd w:val="0"/>
        <w:spacing w:after="0" w:line="212" w:lineRule="auto"/>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40"/>
        <w:rPr>
          <w:rFonts w:ascii="Times New Roman" w:hAnsi="Times New Roman"/>
          <w:sz w:val="24"/>
          <w:szCs w:val="24"/>
        </w:rPr>
      </w:pPr>
      <w:r w:rsidRPr="007C5F5A">
        <w:rPr>
          <w:rFonts w:ascii="Arial" w:hAnsi="Arial" w:cs="Arial"/>
          <w:color w:val="E87817"/>
          <w:sz w:val="26"/>
          <w:szCs w:val="26"/>
        </w:rPr>
        <w:t>Türkiye</w:t>
      </w:r>
    </w:p>
    <w:p w:rsidR="00A45A05" w:rsidRPr="007C5F5A" w:rsidP="00A45A05">
      <w:pPr>
        <w:widowControl w:val="0"/>
        <w:autoSpaceDE w:val="0"/>
        <w:autoSpaceDN w:val="0"/>
        <w:adjustRightInd w:val="0"/>
        <w:spacing w:after="0" w:line="26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Mermer</w:t>
      </w:r>
    </w:p>
    <w:p w:rsidR="00A45A05" w:rsidRPr="007C5F5A" w:rsidP="00A45A05">
      <w:pPr>
        <w:widowControl w:val="0"/>
        <w:autoSpaceDE w:val="0"/>
        <w:autoSpaceDN w:val="0"/>
        <w:adjustRightInd w:val="0"/>
        <w:spacing w:after="0" w:line="263"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Türkiye dünyadaki en eski ve büyük mermer üreticilerinden biridir. Marmara adasında başlayan madencilikle, mermerin adını aldığı yer olarak düşünülür, doğal taş üretimi 4000 yıl önce başlamıştır.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Ülke </w:t>
      </w:r>
      <w:r w:rsidRPr="007C5F5A" w:rsidR="00493D0A">
        <w:rPr>
          <w:rFonts w:ascii="Arial" w:hAnsi="Arial" w:cs="Arial"/>
          <w:color w:val="1F1A17"/>
        </w:rPr>
        <w:t>13,9</w:t>
      </w:r>
      <w:r w:rsidRPr="007C5F5A">
        <w:rPr>
          <w:rFonts w:ascii="Arial" w:hAnsi="Arial" w:cs="Arial"/>
          <w:color w:val="1F1A17"/>
        </w:rPr>
        <w:t xml:space="preserve"> milyar ton (</w:t>
      </w:r>
      <w:r w:rsidRPr="007C5F5A" w:rsidR="00493D0A">
        <w:rPr>
          <w:rFonts w:ascii="Arial" w:hAnsi="Arial" w:cs="Arial"/>
          <w:color w:val="1F1A17"/>
        </w:rPr>
        <w:t>5,2</w:t>
      </w:r>
      <w:r w:rsidRPr="007C5F5A">
        <w:rPr>
          <w:rFonts w:ascii="Arial" w:hAnsi="Arial" w:cs="Arial"/>
          <w:color w:val="1F1A17"/>
        </w:rPr>
        <w:t xml:space="preserve"> milyar metre küp) ile küresel rezervlerin 1/3’ünü kontrol ederek dünyadaki en büyük mermer rezervlerine sahiptir. 2009 yılında, 2.715 milyon metre küp mermer ve 15.322 milyon ton diğer doğal taş </w:t>
      </w:r>
      <w:r w:rsidRPr="007C5F5A" w:rsidR="00493D0A">
        <w:rPr>
          <w:rFonts w:ascii="Arial" w:hAnsi="Arial" w:cs="Arial"/>
          <w:color w:val="1F1A17"/>
        </w:rPr>
        <w:t>çıkarılmıştır. Türkiye</w:t>
      </w:r>
      <w:r w:rsidRPr="007C5F5A">
        <w:rPr>
          <w:rFonts w:ascii="Arial" w:hAnsi="Arial" w:cs="Arial"/>
          <w:color w:val="1F1A17"/>
        </w:rPr>
        <w:t xml:space="preserve">, dünyada 7. Büyük doğal taş üreticisi ve 8. Büyük ihracatçısıdır.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Maden İşleri Genel Müd</w:t>
      </w:r>
      <w:r w:rsidR="004376ED">
        <w:rPr>
          <w:rFonts w:ascii="Arial" w:hAnsi="Arial" w:cs="Arial"/>
          <w:color w:val="1F1A17"/>
        </w:rPr>
        <w:t>ürlüğü raporuna göre Türkiye’de</w:t>
      </w:r>
      <w:r w:rsidRPr="007C5F5A">
        <w:rPr>
          <w:rFonts w:ascii="Arial" w:hAnsi="Arial" w:cs="Arial"/>
          <w:color w:val="1F1A17"/>
        </w:rPr>
        <w:t>ki mermer ve diğer doğal taşların</w:t>
      </w:r>
      <w:r w:rsidR="004376ED">
        <w:rPr>
          <w:rFonts w:ascii="Arial" w:hAnsi="Arial" w:cs="Arial"/>
          <w:color w:val="1F1A17"/>
        </w:rPr>
        <w:t xml:space="preserve"> (</w:t>
      </w:r>
      <w:r w:rsidRPr="007C5F5A">
        <w:rPr>
          <w:rFonts w:ascii="Arial" w:hAnsi="Arial" w:cs="Arial"/>
          <w:color w:val="1F1A17"/>
        </w:rPr>
        <w:t>traverten, granit, kireçtaşı,dolomit,oniks gibi) ihracatı 2009 yılındaki 1.222 milyar dolarlık kazançtan %</w:t>
      </w:r>
      <w:r w:rsidRPr="007C5F5A" w:rsidR="00493D0A">
        <w:rPr>
          <w:rFonts w:ascii="Arial" w:hAnsi="Arial" w:cs="Arial"/>
          <w:color w:val="1F1A17"/>
        </w:rPr>
        <w:t>28,3’lük</w:t>
      </w:r>
      <w:r w:rsidRPr="007C5F5A">
        <w:rPr>
          <w:rFonts w:ascii="Arial" w:hAnsi="Arial" w:cs="Arial"/>
          <w:color w:val="1F1A17"/>
        </w:rPr>
        <w:t xml:space="preserve"> artışla ülkenin mineral ve cevher ihracatının %49’una karşılık gelen 1.568 milyar dolar değerinde 6.640.908 tona çıkmıştır.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jc w:val="both"/>
        <w:rPr>
          <w:rFonts w:ascii="Times New Roman" w:hAnsi="Times New Roman"/>
          <w:sz w:val="24"/>
          <w:szCs w:val="24"/>
        </w:rPr>
      </w:pPr>
      <w:r w:rsidRPr="007C5F5A">
        <w:rPr>
          <w:rFonts w:ascii="Arial" w:hAnsi="Arial" w:cs="Arial"/>
          <w:color w:val="1F1A17"/>
        </w:rPr>
        <w:t xml:space="preserve">1500’den fazla mermer taş </w:t>
      </w:r>
      <w:r w:rsidRPr="007C5F5A" w:rsidR="00493D0A">
        <w:rPr>
          <w:rFonts w:ascii="Arial" w:hAnsi="Arial" w:cs="Arial"/>
          <w:color w:val="1F1A17"/>
        </w:rPr>
        <w:t>Ocağı</w:t>
      </w:r>
      <w:r w:rsidRPr="007C5F5A">
        <w:rPr>
          <w:rFonts w:ascii="Arial" w:hAnsi="Arial" w:cs="Arial"/>
          <w:color w:val="1F1A17"/>
        </w:rPr>
        <w:t xml:space="preserve">, 1500 mermer işleme fabrikası ve 7500 </w:t>
      </w:r>
      <w:r w:rsidRPr="007C5F5A" w:rsidR="00493D0A">
        <w:rPr>
          <w:rFonts w:ascii="Arial" w:hAnsi="Arial" w:cs="Arial"/>
          <w:color w:val="1F1A17"/>
        </w:rPr>
        <w:t>atölye</w:t>
      </w:r>
      <w:r w:rsidRPr="007C5F5A">
        <w:rPr>
          <w:rFonts w:ascii="Arial" w:hAnsi="Arial" w:cs="Arial"/>
          <w:color w:val="1F1A17"/>
        </w:rPr>
        <w:t xml:space="preserve">, 250.000 çalışanı ile Türkiye’ de bulunmaktadır. </w:t>
      </w:r>
    </w:p>
    <w:p w:rsidR="00A45A05" w:rsidRPr="007C5F5A" w:rsidP="00A45A05">
      <w:pPr>
        <w:widowControl w:val="0"/>
        <w:autoSpaceDE w:val="0"/>
        <w:autoSpaceDN w:val="0"/>
        <w:adjustRightInd w:val="0"/>
        <w:spacing w:after="0" w:line="215"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 xml:space="preserve">Seramik ve Banyo Malzemeleri  </w:t>
      </w:r>
    </w:p>
    <w:p w:rsidR="00A45A05" w:rsidRPr="007C5F5A" w:rsidP="00A45A05">
      <w:pPr>
        <w:widowControl w:val="0"/>
        <w:autoSpaceDE w:val="0"/>
        <w:autoSpaceDN w:val="0"/>
        <w:adjustRightInd w:val="0"/>
        <w:spacing w:after="0" w:line="263"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Seramik endüstrisi, Türkiye’nin en rekabetçi sektörlerinden biridir. Endüstri, 1990lar boyunca ve 2000’lerin başlarında </w:t>
      </w:r>
      <w:r w:rsidRPr="007C5F5A" w:rsidR="00493D0A">
        <w:rPr>
          <w:rFonts w:ascii="Arial" w:hAnsi="Arial" w:cs="Arial"/>
          <w:color w:val="1F1A17"/>
        </w:rPr>
        <w:t>ürünlerini üç</w:t>
      </w:r>
      <w:r w:rsidRPr="007C5F5A">
        <w:rPr>
          <w:rFonts w:ascii="Arial" w:hAnsi="Arial" w:cs="Arial"/>
          <w:color w:val="1F1A17"/>
        </w:rPr>
        <w:t xml:space="preserve"> katına genişletmişlerdir. Teknoloji, araştırma ve gelişim yatırımları ile kapasite artışı nedeniyle Türkiye günümüzde 6.büyük seramik üreticisi ve 3. Büyük seramik ihracatçısıdır.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6" w:lineRule="auto"/>
        <w:jc w:val="both"/>
        <w:rPr>
          <w:rFonts w:ascii="Times New Roman" w:hAnsi="Times New Roman"/>
          <w:sz w:val="24"/>
          <w:szCs w:val="24"/>
        </w:rPr>
      </w:pPr>
      <w:r w:rsidRPr="007C5F5A">
        <w:rPr>
          <w:rFonts w:ascii="Arial" w:hAnsi="Arial" w:cs="Arial"/>
          <w:color w:val="1F1A17"/>
        </w:rPr>
        <w:t xml:space="preserve">Ülke ayrıca, Avrupa’nın en büyük banyo malzemeleri üreticisidir. Türkiye, yer/duvar döşemesi, porselen ve seramik banyo küvetleri, duşa kabin, bidet, klozet ve aksesuarlarını üretmektedir. Ülke üretiminin üçte biri ihraç edilmektedir. Türkiye İstatistik Enstitüsüne göre (TUIK), Türk seramik ihracatı, 2009 </w:t>
      </w:r>
      <w:r w:rsidR="00FC4E45">
        <w:rPr>
          <w:rFonts w:ascii="Arial" w:hAnsi="Arial" w:cs="Arial"/>
          <w:color w:val="1F1A17"/>
        </w:rPr>
        <w:t>yılından itibaren %21,</w:t>
      </w:r>
      <w:r w:rsidRPr="007C5F5A">
        <w:rPr>
          <w:rFonts w:ascii="Arial" w:hAnsi="Arial" w:cs="Arial"/>
          <w:color w:val="1F1A17"/>
        </w:rPr>
        <w:t xml:space="preserve">7 artışla, 2010 yılında 644.706 milyon dolara yükselmiştir.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7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3A2816">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880350" cy="9446895"/>
            <wp:effectExtent l="0" t="0" r="0" b="0"/>
            <wp:wrapNone/>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02343" name="Picture 163"/>
                    <pic:cNvPicPr>
                      <a:picLocks noChangeAspect="1" noChangeArrowheads="1"/>
                    </pic:cNvPicPr>
                  </pic:nvPicPr>
                  <pic:blipFill>
                    <a:blip xmlns:r="http://schemas.openxmlformats.org/officeDocument/2006/relationships" r:embed="rId2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89"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Seramik Endüstrisi İhracatı 2008 - 2010</w:t>
      </w:r>
    </w:p>
    <w:p w:rsidR="00A45A05" w:rsidRPr="007C5F5A" w:rsidP="00A45A05">
      <w:pPr>
        <w:widowControl w:val="0"/>
        <w:autoSpaceDE w:val="0"/>
        <w:autoSpaceDN w:val="0"/>
        <w:adjustRightInd w:val="0"/>
        <w:spacing w:after="0" w:line="313"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ind w:left="2980"/>
        <w:rPr>
          <w:rFonts w:ascii="Times New Roman" w:hAnsi="Times New Roman"/>
          <w:sz w:val="24"/>
          <w:szCs w:val="24"/>
        </w:rPr>
      </w:pPr>
      <w:r w:rsidRPr="007C5F5A">
        <w:rPr>
          <w:rFonts w:ascii="Arial" w:hAnsi="Arial" w:cs="Arial"/>
          <w:b/>
          <w:bCs/>
          <w:color w:val="1F1A17"/>
          <w:sz w:val="18"/>
          <w:szCs w:val="18"/>
        </w:rPr>
        <w:t>(Milyon ABD Doları olarak  )</w:t>
      </w:r>
    </w:p>
    <w:p w:rsidR="00A45A05" w:rsidRPr="007C5F5A" w:rsidP="00A45A05">
      <w:pPr>
        <w:widowControl w:val="0"/>
        <w:autoSpaceDE w:val="0"/>
        <w:autoSpaceDN w:val="0"/>
        <w:adjustRightInd w:val="0"/>
        <w:spacing w:after="0" w:line="118" w:lineRule="exact"/>
        <w:rPr>
          <w:rFonts w:ascii="Times New Roman" w:hAnsi="Times New Roman"/>
          <w:sz w:val="24"/>
          <w:szCs w:val="24"/>
        </w:rPr>
      </w:pPr>
    </w:p>
    <w:tbl>
      <w:tblPr>
        <w:tblW w:w="0" w:type="auto"/>
        <w:tblLayout w:type="fixed"/>
        <w:tblCellMar>
          <w:left w:w="0" w:type="dxa"/>
          <w:right w:w="0" w:type="dxa"/>
        </w:tblCellMar>
        <w:tblLook w:val="0000"/>
      </w:tblPr>
      <w:tblGrid>
        <w:gridCol w:w="2400"/>
        <w:gridCol w:w="1820"/>
        <w:gridCol w:w="2060"/>
        <w:gridCol w:w="1640"/>
      </w:tblGrid>
      <w:tr w:rsidTr="00BE30FE">
        <w:tblPrEx>
          <w:tblW w:w="0" w:type="auto"/>
          <w:tblLayout w:type="fixed"/>
          <w:tblCellMar>
            <w:left w:w="0" w:type="dxa"/>
            <w:right w:w="0" w:type="dxa"/>
          </w:tblCellMar>
          <w:tblLook w:val="0000"/>
        </w:tblPrEx>
        <w:trPr>
          <w:trHeight w:val="289"/>
        </w:trPr>
        <w:tc>
          <w:tcPr>
            <w:tcW w:w="240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420"/>
              <w:rPr>
                <w:rFonts w:ascii="Times New Roman" w:hAnsi="Times New Roman"/>
                <w:sz w:val="24"/>
                <w:szCs w:val="24"/>
              </w:rPr>
            </w:pPr>
            <w:r w:rsidRPr="007C5F5A">
              <w:rPr>
                <w:rFonts w:ascii="Arial" w:hAnsi="Arial" w:cs="Arial"/>
                <w:b/>
                <w:bCs/>
                <w:color w:val="FFFFFF"/>
                <w:sz w:val="20"/>
                <w:szCs w:val="20"/>
              </w:rPr>
              <w:t>2008</w:t>
            </w:r>
          </w:p>
        </w:tc>
        <w:tc>
          <w:tcPr>
            <w:tcW w:w="20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740"/>
              <w:rPr>
                <w:rFonts w:ascii="Times New Roman" w:hAnsi="Times New Roman"/>
                <w:sz w:val="24"/>
                <w:szCs w:val="24"/>
              </w:rPr>
            </w:pPr>
            <w:r w:rsidRPr="007C5F5A">
              <w:rPr>
                <w:rFonts w:ascii="Arial" w:hAnsi="Arial" w:cs="Arial"/>
                <w:b/>
                <w:bCs/>
                <w:color w:val="FFFFFF"/>
                <w:sz w:val="20"/>
                <w:szCs w:val="20"/>
              </w:rPr>
              <w:t>2009</w:t>
            </w:r>
          </w:p>
        </w:tc>
        <w:tc>
          <w:tcPr>
            <w:tcW w:w="16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ind w:left="680"/>
              <w:rPr>
                <w:rFonts w:ascii="Times New Roman" w:hAnsi="Times New Roman"/>
                <w:sz w:val="24"/>
                <w:szCs w:val="24"/>
              </w:rPr>
            </w:pPr>
            <w:r w:rsidRPr="007C5F5A">
              <w:rPr>
                <w:rFonts w:ascii="Arial" w:hAnsi="Arial" w:cs="Arial"/>
                <w:b/>
                <w:bCs/>
                <w:color w:val="FFFFFF"/>
                <w:sz w:val="20"/>
                <w:szCs w:val="20"/>
              </w:rPr>
              <w:t>2010</w:t>
            </w:r>
          </w:p>
        </w:tc>
      </w:tr>
      <w:tr w:rsidTr="00BE30FE">
        <w:tblPrEx>
          <w:tblW w:w="0" w:type="auto"/>
          <w:tblLayout w:type="fixed"/>
          <w:tblCellMar>
            <w:left w:w="0" w:type="dxa"/>
            <w:right w:w="0" w:type="dxa"/>
          </w:tblCellMar>
          <w:tblLook w:val="0000"/>
        </w:tblPrEx>
        <w:trPr>
          <w:trHeight w:val="75"/>
        </w:trPr>
        <w:tc>
          <w:tcPr>
            <w:tcW w:w="240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82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206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640" w:type="dxa"/>
            <w:tcBorders>
              <w:top w:val="nil"/>
              <w:left w:val="nil"/>
              <w:bottom w:val="nil"/>
              <w:right w:val="nil"/>
            </w:tcBorders>
            <w:shd w:val="clear" w:color="auto" w:fill="E87817"/>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81"/>
        </w:trPr>
        <w:tc>
          <w:tcPr>
            <w:tcW w:w="24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8"/>
                <w:szCs w:val="18"/>
              </w:rPr>
              <w:t>Seramik Fayans</w:t>
            </w:r>
          </w:p>
        </w:tc>
        <w:tc>
          <w:tcPr>
            <w:tcW w:w="18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420"/>
              <w:rPr>
                <w:rFonts w:ascii="Times New Roman" w:hAnsi="Times New Roman"/>
                <w:sz w:val="24"/>
                <w:szCs w:val="24"/>
              </w:rPr>
            </w:pPr>
            <w:r w:rsidRPr="007C5F5A">
              <w:rPr>
                <w:rFonts w:ascii="Arial" w:hAnsi="Arial" w:cs="Arial"/>
                <w:color w:val="1F1A17"/>
                <w:sz w:val="18"/>
                <w:szCs w:val="18"/>
              </w:rPr>
              <w:t>517,116</w:t>
            </w:r>
          </w:p>
        </w:tc>
        <w:tc>
          <w:tcPr>
            <w:tcW w:w="20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740"/>
              <w:rPr>
                <w:rFonts w:ascii="Times New Roman" w:hAnsi="Times New Roman"/>
                <w:sz w:val="24"/>
                <w:szCs w:val="24"/>
              </w:rPr>
            </w:pPr>
            <w:r w:rsidRPr="007C5F5A">
              <w:rPr>
                <w:rFonts w:ascii="Arial" w:hAnsi="Arial" w:cs="Arial"/>
                <w:color w:val="1F1A17"/>
                <w:sz w:val="18"/>
                <w:szCs w:val="18"/>
              </w:rPr>
              <w:t>390,849</w:t>
            </w:r>
          </w:p>
        </w:tc>
        <w:tc>
          <w:tcPr>
            <w:tcW w:w="1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680"/>
              <w:rPr>
                <w:rFonts w:ascii="Times New Roman" w:hAnsi="Times New Roman"/>
                <w:sz w:val="24"/>
                <w:szCs w:val="24"/>
              </w:rPr>
            </w:pPr>
            <w:r w:rsidRPr="007C5F5A">
              <w:rPr>
                <w:rFonts w:ascii="Arial" w:hAnsi="Arial" w:cs="Arial"/>
                <w:color w:val="1F1A17"/>
                <w:sz w:val="18"/>
                <w:szCs w:val="18"/>
              </w:rPr>
              <w:t>487,798</w:t>
            </w:r>
          </w:p>
        </w:tc>
      </w:tr>
      <w:tr w:rsidTr="00BE30FE">
        <w:tblPrEx>
          <w:tblW w:w="0" w:type="auto"/>
          <w:tblLayout w:type="fixed"/>
          <w:tblCellMar>
            <w:left w:w="0" w:type="dxa"/>
            <w:right w:w="0" w:type="dxa"/>
          </w:tblCellMar>
          <w:tblLook w:val="0000"/>
        </w:tblPrEx>
        <w:trPr>
          <w:trHeight w:val="83"/>
        </w:trPr>
        <w:tc>
          <w:tcPr>
            <w:tcW w:w="24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77"/>
        </w:trPr>
        <w:tc>
          <w:tcPr>
            <w:tcW w:w="2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8"/>
                <w:szCs w:val="18"/>
              </w:rPr>
              <w:t xml:space="preserve">Seramik Banyo Eşyası </w:t>
            </w:r>
          </w:p>
        </w:tc>
        <w:tc>
          <w:tcPr>
            <w:tcW w:w="1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420"/>
              <w:rPr>
                <w:rFonts w:ascii="Times New Roman" w:hAnsi="Times New Roman"/>
                <w:sz w:val="24"/>
                <w:szCs w:val="24"/>
              </w:rPr>
            </w:pPr>
            <w:r w:rsidRPr="007C5F5A">
              <w:rPr>
                <w:rFonts w:ascii="Arial" w:hAnsi="Arial" w:cs="Arial"/>
                <w:color w:val="1F1A17"/>
                <w:sz w:val="18"/>
                <w:szCs w:val="18"/>
              </w:rPr>
              <w:t>176,516</w:t>
            </w:r>
          </w:p>
        </w:tc>
        <w:tc>
          <w:tcPr>
            <w:tcW w:w="20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740"/>
              <w:rPr>
                <w:rFonts w:ascii="Times New Roman" w:hAnsi="Times New Roman"/>
                <w:sz w:val="24"/>
                <w:szCs w:val="24"/>
              </w:rPr>
            </w:pPr>
            <w:r w:rsidRPr="007C5F5A">
              <w:rPr>
                <w:rFonts w:ascii="Arial" w:hAnsi="Arial" w:cs="Arial"/>
                <w:color w:val="1F1A17"/>
                <w:sz w:val="18"/>
                <w:szCs w:val="18"/>
              </w:rPr>
              <w:t>139,036</w:t>
            </w:r>
          </w:p>
        </w:tc>
        <w:tc>
          <w:tcPr>
            <w:tcW w:w="1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680"/>
              <w:rPr>
                <w:rFonts w:ascii="Times New Roman" w:hAnsi="Times New Roman"/>
                <w:sz w:val="24"/>
                <w:szCs w:val="24"/>
              </w:rPr>
            </w:pPr>
            <w:r w:rsidRPr="007C5F5A">
              <w:rPr>
                <w:rFonts w:ascii="Arial" w:hAnsi="Arial" w:cs="Arial"/>
                <w:color w:val="1F1A17"/>
                <w:sz w:val="18"/>
                <w:szCs w:val="18"/>
              </w:rPr>
              <w:t>156,908</w:t>
            </w:r>
          </w:p>
        </w:tc>
      </w:tr>
      <w:tr w:rsidTr="00BE30FE">
        <w:tblPrEx>
          <w:tblW w:w="0" w:type="auto"/>
          <w:tblLayout w:type="fixed"/>
          <w:tblCellMar>
            <w:left w:w="0" w:type="dxa"/>
            <w:right w:w="0" w:type="dxa"/>
          </w:tblCellMar>
          <w:tblLook w:val="0000"/>
        </w:tblPrEx>
        <w:trPr>
          <w:trHeight w:val="87"/>
        </w:trPr>
        <w:tc>
          <w:tcPr>
            <w:tcW w:w="240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4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r w:rsidTr="00BE30FE">
        <w:tblPrEx>
          <w:tblW w:w="0" w:type="auto"/>
          <w:tblLayout w:type="fixed"/>
          <w:tblCellMar>
            <w:left w:w="0" w:type="dxa"/>
            <w:right w:w="0" w:type="dxa"/>
          </w:tblCellMar>
          <w:tblLook w:val="0000"/>
        </w:tblPrEx>
        <w:trPr>
          <w:trHeight w:val="273"/>
        </w:trPr>
        <w:tc>
          <w:tcPr>
            <w:tcW w:w="24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8"/>
                <w:szCs w:val="18"/>
              </w:rPr>
              <w:t>Toplam Seramik İhracatı</w:t>
            </w:r>
          </w:p>
        </w:tc>
        <w:tc>
          <w:tcPr>
            <w:tcW w:w="18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420"/>
              <w:rPr>
                <w:rFonts w:ascii="Times New Roman" w:hAnsi="Times New Roman"/>
                <w:sz w:val="24"/>
                <w:szCs w:val="24"/>
              </w:rPr>
            </w:pPr>
            <w:r w:rsidRPr="007C5F5A">
              <w:rPr>
                <w:rFonts w:ascii="Arial" w:hAnsi="Arial" w:cs="Arial"/>
                <w:color w:val="1F1A17"/>
                <w:sz w:val="18"/>
                <w:szCs w:val="18"/>
              </w:rPr>
              <w:t>693,632</w:t>
            </w:r>
          </w:p>
        </w:tc>
        <w:tc>
          <w:tcPr>
            <w:tcW w:w="20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740"/>
              <w:rPr>
                <w:rFonts w:ascii="Times New Roman" w:hAnsi="Times New Roman"/>
                <w:sz w:val="24"/>
                <w:szCs w:val="24"/>
              </w:rPr>
            </w:pPr>
            <w:r w:rsidRPr="007C5F5A">
              <w:rPr>
                <w:rFonts w:ascii="Arial" w:hAnsi="Arial" w:cs="Arial"/>
                <w:color w:val="1F1A17"/>
                <w:sz w:val="18"/>
                <w:szCs w:val="18"/>
              </w:rPr>
              <w:t>529,885</w:t>
            </w:r>
          </w:p>
        </w:tc>
        <w:tc>
          <w:tcPr>
            <w:tcW w:w="1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680"/>
              <w:rPr>
                <w:rFonts w:ascii="Times New Roman" w:hAnsi="Times New Roman"/>
                <w:sz w:val="24"/>
                <w:szCs w:val="24"/>
              </w:rPr>
            </w:pPr>
            <w:r w:rsidRPr="007C5F5A">
              <w:rPr>
                <w:rFonts w:ascii="Arial" w:hAnsi="Arial" w:cs="Arial"/>
                <w:color w:val="1F1A17"/>
                <w:sz w:val="18"/>
                <w:szCs w:val="18"/>
              </w:rPr>
              <w:t>644,706</w:t>
            </w:r>
          </w:p>
        </w:tc>
      </w:tr>
      <w:tr w:rsidTr="00BE30FE">
        <w:tblPrEx>
          <w:tblW w:w="0" w:type="auto"/>
          <w:tblLayout w:type="fixed"/>
          <w:tblCellMar>
            <w:left w:w="0" w:type="dxa"/>
            <w:right w:w="0" w:type="dxa"/>
          </w:tblCellMar>
          <w:tblLook w:val="0000"/>
        </w:tblPrEx>
        <w:trPr>
          <w:trHeight w:val="91"/>
        </w:trPr>
        <w:tc>
          <w:tcPr>
            <w:tcW w:w="240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8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64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bl>
    <w:p w:rsidR="00A45A05" w:rsidRPr="007C5F5A" w:rsidP="00A45A05">
      <w:pPr>
        <w:widowControl w:val="0"/>
        <w:autoSpaceDE w:val="0"/>
        <w:autoSpaceDN w:val="0"/>
        <w:adjustRightInd w:val="0"/>
        <w:spacing w:after="0" w:line="119"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i/>
          <w:iCs/>
          <w:color w:val="1F1A17"/>
          <w:sz w:val="17"/>
          <w:szCs w:val="17"/>
        </w:rPr>
        <w:t>Kaynak: Dış</w:t>
      </w:r>
      <w:r w:rsidRPr="007C5F5A">
        <w:rPr>
          <w:rFonts w:ascii="Arial" w:hAnsi="Arial" w:cs="Arial"/>
          <w:i/>
          <w:iCs/>
          <w:color w:val="1F1A17"/>
          <w:sz w:val="17"/>
          <w:szCs w:val="17"/>
        </w:rPr>
        <w:t xml:space="preserve"> Ticaret Müsteşarlığı</w:t>
      </w:r>
    </w:p>
    <w:p w:rsidR="00A45A05" w:rsidRPr="007C5F5A" w:rsidP="00A45A05">
      <w:pPr>
        <w:widowControl w:val="0"/>
        <w:autoSpaceDE w:val="0"/>
        <w:autoSpaceDN w:val="0"/>
        <w:adjustRightInd w:val="0"/>
        <w:spacing w:after="0" w:line="38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Zengin gelenekleri nedeniyle, Türk seramik üreticileri Anadolu’nun çok kültürlü ve renkli tarihi zenginliklerini modern tasarımlarla birleştirmiştir. Türkiye seramik endüstrisinde yaklaşık 220.000 kişi çalışmaktadır. 7 büyük üretici, Kale Grup, Söğüt, Toprak, Seramiksan, Graniser, Eczacıbaşı ve Yurtbayand Tamsa, üretim kapasitesinin %60’ını kontrol etmektedir.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91" w:lineRule="auto"/>
        <w:jc w:val="both"/>
        <w:rPr>
          <w:rFonts w:ascii="Times New Roman" w:hAnsi="Times New Roman"/>
          <w:sz w:val="24"/>
          <w:szCs w:val="24"/>
        </w:rPr>
      </w:pPr>
      <w:r w:rsidRPr="007C5F5A">
        <w:rPr>
          <w:rFonts w:ascii="Arial" w:hAnsi="Arial" w:cs="Arial"/>
          <w:color w:val="1F1A17"/>
          <w:sz w:val="21"/>
          <w:szCs w:val="21"/>
        </w:rPr>
        <w:t xml:space="preserve">Türkiye’de 26 büyük ve orta ölçekli seramik fayans firması ile 40 banyo malzemesi imalatçısı bulunmaktadır. Banyo malzemeleri üretiminde Eczacıbaşı, tek bir firma altındaki en büyük kapasiteye sahip olarak, </w:t>
      </w:r>
      <w:r w:rsidRPr="007C5F5A" w:rsidR="003A2816">
        <w:rPr>
          <w:rFonts w:ascii="Arial" w:hAnsi="Arial" w:cs="Arial"/>
          <w:color w:val="1F1A17"/>
          <w:sz w:val="21"/>
          <w:szCs w:val="21"/>
        </w:rPr>
        <w:t>6,2</w:t>
      </w:r>
      <w:r w:rsidRPr="007C5F5A">
        <w:rPr>
          <w:rFonts w:ascii="Arial" w:hAnsi="Arial" w:cs="Arial"/>
          <w:color w:val="1F1A17"/>
          <w:sz w:val="21"/>
          <w:szCs w:val="21"/>
        </w:rPr>
        <w:t xml:space="preserve"> milyon birimlik en büyük üretim kapasitesine sahip firmadır. Bir diğer büyük küresel üretici ise Serel Seramiktir.  Türkiye Seramik federasyonu ticaret grubudur, raporlarına göre ülkede yıllık 17 milyon parça üretilmektedir. En üstteki 7 firma seramik banyo malzemeleri yan sektöründe üretim kapasitesinin %67’sini elinde tutmaktadır. </w:t>
      </w:r>
    </w:p>
    <w:p w:rsidR="00A45A05" w:rsidRPr="007C5F5A" w:rsidP="00A45A05">
      <w:pPr>
        <w:widowControl w:val="0"/>
        <w:autoSpaceDE w:val="0"/>
        <w:autoSpaceDN w:val="0"/>
        <w:adjustRightInd w:val="0"/>
        <w:spacing w:after="0" w:line="21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7" w:lineRule="auto"/>
        <w:jc w:val="both"/>
        <w:rPr>
          <w:rFonts w:ascii="Times New Roman" w:hAnsi="Times New Roman"/>
          <w:sz w:val="24"/>
          <w:szCs w:val="24"/>
        </w:rPr>
      </w:pPr>
      <w:r w:rsidRPr="007C5F5A">
        <w:rPr>
          <w:rFonts w:ascii="Arial" w:hAnsi="Arial" w:cs="Arial"/>
          <w:color w:val="1F1A17"/>
        </w:rPr>
        <w:t xml:space="preserve">Türk Seramik Federasyonu raporlarına göre, 2010 yılının sonundan itibaren yeni yatırımların ve kapasite artışlarının sonucu olarak Türkiye 407.375 milyon metre kare seramik fayans üretim kapasitesine sahip olmuştur. Büyümekte olan iskân ve taşınmaz mal piyasası ile Türkiye özellikle banyo malzemeleri, yer ve duvar döşeme üretiminde büyük derecede yükseliş göstermiştir. </w:t>
      </w:r>
    </w:p>
    <w:p w:rsidR="00A45A05" w:rsidRPr="007C5F5A" w:rsidP="00A45A05">
      <w:pPr>
        <w:widowControl w:val="0"/>
        <w:autoSpaceDE w:val="0"/>
        <w:autoSpaceDN w:val="0"/>
        <w:adjustRightInd w:val="0"/>
        <w:spacing w:after="0" w:line="220"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Türkiye’nin en büyük Seramik üreticisi yıllık 72 milyon metre karelik seramik fayans üretim kapasitesine sahip Kale seramiktir. Türkiye 2010 yılı seramik fayans üretimi yaklaşık 260 milyon metre kare iken banyo malzemesi ü</w:t>
      </w:r>
      <w:r w:rsidR="004376ED">
        <w:rPr>
          <w:rFonts w:ascii="Arial" w:hAnsi="Arial" w:cs="Arial"/>
          <w:color w:val="1F1A17"/>
        </w:rPr>
        <w:t>retimi yaklaşık 230 milyon ton olmuştur</w:t>
      </w:r>
      <w:r w:rsidRPr="007C5F5A">
        <w:rPr>
          <w:rFonts w:ascii="Arial" w:hAnsi="Arial" w:cs="Arial"/>
          <w:color w:val="1F1A17"/>
        </w:rPr>
        <w:t xml:space="preserve">. </w:t>
      </w:r>
    </w:p>
    <w:p w:rsidR="00A45A05" w:rsidRPr="007C5F5A" w:rsidP="00A45A05">
      <w:pPr>
        <w:widowControl w:val="0"/>
        <w:autoSpaceDE w:val="0"/>
        <w:autoSpaceDN w:val="0"/>
        <w:adjustRightInd w:val="0"/>
        <w:spacing w:after="0" w:line="18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E87817"/>
          <w:sz w:val="26"/>
          <w:szCs w:val="26"/>
        </w:rPr>
        <w:t>Hindistan</w:t>
      </w:r>
    </w:p>
    <w:p w:rsidR="00A45A05" w:rsidRPr="007C5F5A" w:rsidP="00A45A05">
      <w:pPr>
        <w:widowControl w:val="0"/>
        <w:autoSpaceDE w:val="0"/>
        <w:autoSpaceDN w:val="0"/>
        <w:adjustRightInd w:val="0"/>
        <w:spacing w:after="0" w:line="25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jc w:val="both"/>
        <w:rPr>
          <w:rFonts w:ascii="Times New Roman" w:hAnsi="Times New Roman"/>
          <w:sz w:val="24"/>
          <w:szCs w:val="24"/>
        </w:rPr>
      </w:pPr>
      <w:r w:rsidRPr="007C5F5A">
        <w:rPr>
          <w:rFonts w:ascii="Arial" w:hAnsi="Arial" w:cs="Arial"/>
          <w:color w:val="1F1A17"/>
        </w:rPr>
        <w:t xml:space="preserve">“Taşın dili İnsan dilini aşar”- Nobel ÖdüllüRabindranathTagore, </w:t>
      </w:r>
    </w:p>
    <w:p w:rsidR="00A45A05" w:rsidRPr="007C5F5A" w:rsidP="00A45A05">
      <w:pPr>
        <w:widowControl w:val="0"/>
        <w:autoSpaceDE w:val="0"/>
        <w:autoSpaceDN w:val="0"/>
        <w:adjustRightInd w:val="0"/>
        <w:spacing w:after="0" w:line="211"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84" w:lineRule="auto"/>
        <w:jc w:val="both"/>
        <w:rPr>
          <w:rFonts w:ascii="Times New Roman" w:hAnsi="Times New Roman"/>
          <w:sz w:val="24"/>
          <w:szCs w:val="24"/>
        </w:rPr>
      </w:pPr>
      <w:r w:rsidRPr="007C5F5A">
        <w:rPr>
          <w:rFonts w:ascii="Arial" w:hAnsi="Arial" w:cs="Arial"/>
          <w:color w:val="1F1A17"/>
        </w:rPr>
        <w:t xml:space="preserve">Hindistan, ülkenin her yerine yayılmış granit, mermer, kireç taşı, kuartz, kumtaşı, gibi geniş taş yelpazesine sahip taş </w:t>
      </w:r>
      <w:r w:rsidRPr="007C5F5A" w:rsidR="003A2816">
        <w:rPr>
          <w:rFonts w:ascii="Arial" w:hAnsi="Arial" w:cs="Arial"/>
          <w:color w:val="1F1A17"/>
        </w:rPr>
        <w:t>hazinesidir. Ülke</w:t>
      </w:r>
      <w:r w:rsidRPr="007C5F5A">
        <w:rPr>
          <w:rFonts w:ascii="Arial" w:hAnsi="Arial" w:cs="Arial"/>
          <w:color w:val="1F1A17"/>
        </w:rPr>
        <w:t xml:space="preserve">, dünyadaki en büyük taş üreticilerinden biridir. Her yıl bir önceki yıla göre %10’luk fazlalaşma ile Hint taş endüstrisi düzenli şekilde gelişmektedir. </w:t>
      </w:r>
    </w:p>
    <w:p w:rsidR="00A45A05" w:rsidRPr="007C5F5A" w:rsidP="00A45A05">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3A2816">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A45A05" w:rsidRPr="007C5F5A" w:rsidP="00A45A0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8960" behindDoc="1" locked="0" layoutInCell="0" allowOverlap="1">
            <wp:simplePos x="0" y="0"/>
            <wp:positionH relativeFrom="page">
              <wp:posOffset>0</wp:posOffset>
            </wp:positionH>
            <wp:positionV relativeFrom="page">
              <wp:posOffset>377190</wp:posOffset>
            </wp:positionV>
            <wp:extent cx="7880350" cy="9897110"/>
            <wp:effectExtent l="0" t="0" r="0" b="0"/>
            <wp:wrapNone/>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65950" name="Picture 164"/>
                    <pic:cNvPicPr>
                      <a:picLocks noChangeAspect="1" noChangeArrowheads="1"/>
                    </pic:cNvPicPr>
                  </pic:nvPicPr>
                  <pic:blipFill>
                    <a:blip xmlns:r="http://schemas.openxmlformats.org/officeDocument/2006/relationships" r:embed="rId2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29" w:lineRule="exact"/>
        <w:rPr>
          <w:rFonts w:ascii="Times New Roman" w:hAnsi="Times New Roman"/>
          <w:sz w:val="24"/>
          <w:szCs w:val="24"/>
        </w:rPr>
      </w:pP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Tortu kalitesi göze çarpıcıdır ve Hint taşları güçlülük ve esneklikleri ile bilinirler. Taşlar en yüksek uluslararası standartları karşılar, mükemmel bir değişmezlik ve süreklilik sağlar ve dünya çapında bilinen </w:t>
      </w:r>
      <w:r w:rsidRPr="007C5F5A" w:rsidR="003A2816">
        <w:rPr>
          <w:rFonts w:ascii="Arial" w:hAnsi="Arial" w:cs="Arial"/>
          <w:color w:val="1F1A17"/>
        </w:rPr>
        <w:t>birçok</w:t>
      </w:r>
      <w:r w:rsidRPr="007C5F5A">
        <w:rPr>
          <w:rFonts w:ascii="Arial" w:hAnsi="Arial" w:cs="Arial"/>
          <w:color w:val="1F1A17"/>
        </w:rPr>
        <w:t xml:space="preserve"> bina yapımında kullanılmışlardır.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Ayrıca Hindistan, büyük ham taş madde üreticileri arasındadır ve kendini adamış girişimci kaynağıyla Güneyde Rajasthan ve Guljaratta olduğu gibi sektör </w:t>
      </w:r>
      <w:r w:rsidR="004376ED">
        <w:rPr>
          <w:rFonts w:ascii="Arial" w:hAnsi="Arial" w:cs="Arial"/>
          <w:color w:val="1F1A17"/>
        </w:rPr>
        <w:t xml:space="preserve">oldukça </w:t>
      </w:r>
      <w:r w:rsidRPr="007C5F5A">
        <w:rPr>
          <w:rFonts w:ascii="Arial" w:hAnsi="Arial" w:cs="Arial"/>
          <w:color w:val="1F1A17"/>
        </w:rPr>
        <w:t xml:space="preserve">gelişmiş ve canlıdır. Ayrıca Hindistan’da sektörün taleplerini yeterli şekilde karşılayan müthiş bir makine%araç üreticisi kaynağı da bulunmaktadır.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278" w:lineRule="auto"/>
        <w:jc w:val="both"/>
        <w:rPr>
          <w:rFonts w:ascii="Times New Roman" w:hAnsi="Times New Roman"/>
          <w:sz w:val="24"/>
          <w:szCs w:val="24"/>
        </w:rPr>
      </w:pPr>
      <w:r w:rsidRPr="007C5F5A">
        <w:rPr>
          <w:rFonts w:ascii="Arial" w:hAnsi="Arial" w:cs="Arial"/>
          <w:color w:val="1F1A17"/>
        </w:rPr>
        <w:t xml:space="preserve">Hindistan taş endüstrisi,blok, döşeme plağı, yapı plakları, ölçülü-tamire hazır fayans,anıtlar,mezar taşı, </w:t>
      </w:r>
      <w:r w:rsidRPr="007C5F5A" w:rsidR="003A2816">
        <w:rPr>
          <w:rFonts w:ascii="Arial" w:hAnsi="Arial" w:cs="Arial"/>
          <w:color w:val="1F1A17"/>
        </w:rPr>
        <w:t>heykel, yapay</w:t>
      </w:r>
      <w:r w:rsidRPr="007C5F5A">
        <w:rPr>
          <w:rFonts w:ascii="Arial" w:hAnsi="Arial" w:cs="Arial"/>
          <w:color w:val="1F1A17"/>
        </w:rPr>
        <w:t xml:space="preserve"> doku, küp, </w:t>
      </w:r>
      <w:r w:rsidRPr="007C5F5A" w:rsidR="003A2816">
        <w:rPr>
          <w:rFonts w:ascii="Arial" w:hAnsi="Arial" w:cs="Arial"/>
          <w:color w:val="1F1A17"/>
        </w:rPr>
        <w:t>kaldırım, çakıltaşı, manzara</w:t>
      </w:r>
      <w:r w:rsidRPr="007C5F5A">
        <w:rPr>
          <w:rFonts w:ascii="Arial" w:hAnsi="Arial" w:cs="Arial"/>
          <w:color w:val="1F1A17"/>
        </w:rPr>
        <w:t xml:space="preserve"> bahçe taşları üretimi ve satışına dönüşmüştür.  </w:t>
      </w:r>
    </w:p>
    <w:p w:rsidR="00A45A05" w:rsidRPr="007C5F5A" w:rsidP="00A45A05">
      <w:pPr>
        <w:widowControl w:val="0"/>
        <w:autoSpaceDE w:val="0"/>
        <w:autoSpaceDN w:val="0"/>
        <w:adjustRightInd w:val="0"/>
        <w:spacing w:after="0" w:line="218" w:lineRule="exact"/>
        <w:rPr>
          <w:rFonts w:ascii="Times New Roman" w:hAnsi="Times New Roman"/>
          <w:sz w:val="24"/>
          <w:szCs w:val="24"/>
        </w:rPr>
      </w:pPr>
    </w:p>
    <w:p w:rsidR="00A45A05" w:rsidRPr="007C5F5A" w:rsidP="00A45A05">
      <w:pPr>
        <w:pStyle w:val="Heading1"/>
        <w:rPr>
          <w:rFonts w:ascii="Arial" w:hAnsi="Arial" w:cs="Arial"/>
          <w:b w:val="0"/>
          <w:sz w:val="22"/>
          <w:szCs w:val="22"/>
        </w:rPr>
      </w:pPr>
      <w:r w:rsidRPr="007C5F5A">
        <w:rPr>
          <w:rFonts w:ascii="Arial" w:hAnsi="Arial" w:cs="Arial"/>
          <w:b w:val="0"/>
          <w:sz w:val="22"/>
          <w:szCs w:val="22"/>
        </w:rPr>
        <w:t xml:space="preserve">Dünyadaki 3. Büyük taş ihracatçısı olmasına rağmen Hindistan en büyük taş ve taş ürün tüketicileri arasındadır. Hindistan bünyesindeki iyi kurulmuş dağıtım ağı </w:t>
      </w:r>
      <w:r w:rsidRPr="007C5F5A" w:rsidR="003A2816">
        <w:rPr>
          <w:rFonts w:ascii="Arial" w:hAnsi="Arial" w:cs="Arial"/>
          <w:b w:val="0"/>
          <w:sz w:val="22"/>
          <w:szCs w:val="22"/>
        </w:rPr>
        <w:t>ile</w:t>
      </w:r>
      <w:r w:rsidRPr="007C5F5A">
        <w:rPr>
          <w:rFonts w:ascii="Arial" w:hAnsi="Arial" w:cs="Arial"/>
          <w:b w:val="0"/>
          <w:sz w:val="22"/>
          <w:szCs w:val="22"/>
        </w:rPr>
        <w:t xml:space="preserve"> Hint taş endüstrisi yurt içi talebi ve gelişmekte olan orta sınıfın artan ihtiyaçlarını yeterli şekilde karşılamaktadır. </w:t>
      </w: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b/>
          <w:bCs/>
          <w:color w:val="E87817"/>
        </w:rPr>
        <w:t>Hindistan’dan Kesme Taş İhracatı  (Milyon Rupee)</w:t>
      </w:r>
    </w:p>
    <w:p w:rsidR="00A45A05" w:rsidRPr="007C5F5A" w:rsidP="00A45A05">
      <w:pPr>
        <w:widowControl w:val="0"/>
        <w:autoSpaceDE w:val="0"/>
        <w:autoSpaceDN w:val="0"/>
        <w:adjustRightInd w:val="0"/>
        <w:spacing w:after="0" w:line="99" w:lineRule="exact"/>
        <w:rPr>
          <w:rFonts w:ascii="Times New Roman" w:hAnsi="Times New Roman"/>
          <w:sz w:val="24"/>
          <w:szCs w:val="24"/>
        </w:rPr>
      </w:pPr>
    </w:p>
    <w:p w:rsidR="00A45A05" w:rsidRPr="007C5F5A" w:rsidP="00A45A05">
      <w:pPr>
        <w:widowControl w:val="0"/>
        <w:overflowPunct w:val="0"/>
        <w:autoSpaceDE w:val="0"/>
        <w:autoSpaceDN w:val="0"/>
        <w:adjustRightInd w:val="0"/>
        <w:spacing w:after="0" w:line="311" w:lineRule="auto"/>
        <w:ind w:right="100"/>
        <w:rPr>
          <w:rFonts w:ascii="Times New Roman" w:hAnsi="Times New Roman"/>
          <w:sz w:val="24"/>
          <w:szCs w:val="24"/>
        </w:rPr>
      </w:pPr>
      <w:r w:rsidRPr="007C5F5A">
        <w:rPr>
          <w:rFonts w:ascii="Arial" w:hAnsi="Arial" w:cs="Arial"/>
          <w:color w:val="1F1A17"/>
          <w:sz w:val="20"/>
          <w:szCs w:val="20"/>
        </w:rPr>
        <w:t xml:space="preserve">Hindistan </w:t>
      </w:r>
      <w:r w:rsidRPr="007C5F5A" w:rsidR="003A2816">
        <w:rPr>
          <w:rFonts w:ascii="Arial" w:hAnsi="Arial" w:cs="Arial"/>
          <w:color w:val="1F1A17"/>
          <w:sz w:val="20"/>
          <w:szCs w:val="20"/>
        </w:rPr>
        <w:t>lider durumdaki</w:t>
      </w:r>
      <w:r w:rsidRPr="007C5F5A">
        <w:rPr>
          <w:rFonts w:ascii="Arial" w:hAnsi="Arial" w:cs="Arial"/>
          <w:color w:val="1F1A17"/>
          <w:sz w:val="20"/>
          <w:szCs w:val="20"/>
        </w:rPr>
        <w:t xml:space="preserve"> Çin ve İtalya’dan sonra, dünyadaki lider ihracat ülkeleri arasında bulunmaktadır.</w:t>
      </w:r>
    </w:p>
    <w:p w:rsidR="00A45A05" w:rsidRPr="007C5F5A" w:rsidP="00A45A05">
      <w:pPr>
        <w:widowControl w:val="0"/>
        <w:autoSpaceDE w:val="0"/>
        <w:autoSpaceDN w:val="0"/>
        <w:adjustRightInd w:val="0"/>
        <w:spacing w:after="0" w:line="154" w:lineRule="exact"/>
        <w:rPr>
          <w:rFonts w:ascii="Times New Roman" w:hAnsi="Times New Roman"/>
          <w:sz w:val="24"/>
          <w:szCs w:val="24"/>
        </w:rPr>
      </w:pPr>
    </w:p>
    <w:tbl>
      <w:tblPr>
        <w:tblW w:w="0" w:type="auto"/>
        <w:tblLayout w:type="fixed"/>
        <w:tblCellMar>
          <w:left w:w="0" w:type="dxa"/>
          <w:right w:w="0" w:type="dxa"/>
        </w:tblCellMar>
        <w:tblLook w:val="0000"/>
      </w:tblPr>
      <w:tblGrid>
        <w:gridCol w:w="1920"/>
        <w:gridCol w:w="980"/>
        <w:gridCol w:w="1020"/>
        <w:gridCol w:w="980"/>
        <w:gridCol w:w="980"/>
        <w:gridCol w:w="960"/>
        <w:gridCol w:w="1080"/>
      </w:tblGrid>
      <w:tr w:rsidTr="00BE30FE">
        <w:tblPrEx>
          <w:tblW w:w="0" w:type="auto"/>
          <w:tblLayout w:type="fixed"/>
          <w:tblCellMar>
            <w:left w:w="0" w:type="dxa"/>
            <w:right w:w="0" w:type="dxa"/>
          </w:tblCellMar>
          <w:tblLook w:val="0000"/>
        </w:tblPrEx>
        <w:trPr>
          <w:trHeight w:val="344"/>
        </w:trPr>
        <w:tc>
          <w:tcPr>
            <w:tcW w:w="192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b/>
                <w:bCs/>
                <w:color w:val="FFFFFF"/>
                <w:sz w:val="18"/>
                <w:szCs w:val="18"/>
              </w:rPr>
              <w:t>Sermaye Tanımı</w:t>
            </w:r>
          </w:p>
        </w:tc>
        <w:tc>
          <w:tcPr>
            <w:tcW w:w="9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b/>
                <w:bCs/>
                <w:color w:val="FFFFFF"/>
                <w:sz w:val="18"/>
                <w:szCs w:val="18"/>
              </w:rPr>
              <w:t>2004-05</w:t>
            </w:r>
          </w:p>
        </w:tc>
        <w:tc>
          <w:tcPr>
            <w:tcW w:w="102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b/>
                <w:bCs/>
                <w:color w:val="FFFFFF"/>
                <w:sz w:val="18"/>
                <w:szCs w:val="18"/>
              </w:rPr>
              <w:t>2005-05</w:t>
            </w:r>
          </w:p>
        </w:tc>
        <w:tc>
          <w:tcPr>
            <w:tcW w:w="9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b/>
                <w:bCs/>
                <w:color w:val="FFFFFF"/>
                <w:sz w:val="18"/>
                <w:szCs w:val="18"/>
              </w:rPr>
              <w:t>2006-07</w:t>
            </w:r>
          </w:p>
        </w:tc>
        <w:tc>
          <w:tcPr>
            <w:tcW w:w="9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b/>
                <w:bCs/>
                <w:color w:val="FFFFFF"/>
                <w:sz w:val="18"/>
                <w:szCs w:val="18"/>
              </w:rPr>
              <w:t>2007-08</w:t>
            </w:r>
          </w:p>
        </w:tc>
        <w:tc>
          <w:tcPr>
            <w:tcW w:w="96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b/>
                <w:bCs/>
                <w:color w:val="FFFFFF"/>
                <w:sz w:val="18"/>
                <w:szCs w:val="18"/>
              </w:rPr>
              <w:t>2008-09</w:t>
            </w:r>
          </w:p>
        </w:tc>
        <w:tc>
          <w:tcPr>
            <w:tcW w:w="1080" w:type="dxa"/>
            <w:tcBorders>
              <w:top w:val="nil"/>
              <w:left w:val="nil"/>
              <w:bottom w:val="single" w:sz="8" w:space="0" w:color="E87817"/>
              <w:right w:val="nil"/>
            </w:tcBorders>
            <w:shd w:val="clear" w:color="auto" w:fill="E87817"/>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b/>
                <w:bCs/>
                <w:color w:val="FFFFFF"/>
                <w:sz w:val="18"/>
                <w:szCs w:val="18"/>
              </w:rPr>
              <w:t>2009-10*</w:t>
            </w:r>
          </w:p>
        </w:tc>
      </w:tr>
      <w:tr w:rsidTr="00BE30FE">
        <w:tblPrEx>
          <w:tblW w:w="0" w:type="auto"/>
          <w:tblLayout w:type="fixed"/>
          <w:tblCellMar>
            <w:left w:w="0" w:type="dxa"/>
            <w:right w:w="0" w:type="dxa"/>
          </w:tblCellMar>
          <w:tblLook w:val="0000"/>
        </w:tblPrEx>
        <w:trPr>
          <w:trHeight w:val="297"/>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Granite ve</w:t>
            </w:r>
            <w:r w:rsidRPr="007C5F5A">
              <w:rPr>
                <w:rFonts w:ascii="Arial" w:hAnsi="Arial" w:cs="Arial"/>
                <w:color w:val="1F1A17"/>
                <w:sz w:val="16"/>
                <w:szCs w:val="16"/>
              </w:rPr>
              <w:t xml:space="preserve"> Ürünleri</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27257.99</w:t>
            </w: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34904.91</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47248.42</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42874.85</w:t>
            </w: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48149.00</w:t>
            </w: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50508.00</w:t>
            </w:r>
          </w:p>
        </w:tc>
      </w:tr>
      <w:tr w:rsidTr="00BE30FE">
        <w:tblPrEx>
          <w:tblW w:w="0" w:type="auto"/>
          <w:tblLayout w:type="fixed"/>
          <w:tblCellMar>
            <w:left w:w="0" w:type="dxa"/>
            <w:right w:w="0" w:type="dxa"/>
          </w:tblCellMar>
          <w:tblLook w:val="0000"/>
        </w:tblPrEx>
        <w:trPr>
          <w:trHeight w:val="67"/>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5"/>
                <w:szCs w:val="5"/>
              </w:rPr>
            </w:pPr>
          </w:p>
        </w:tc>
      </w:tr>
      <w:tr w:rsidTr="00BE30FE">
        <w:tblPrEx>
          <w:tblW w:w="0" w:type="auto"/>
          <w:tblLayout w:type="fixed"/>
          <w:tblCellMar>
            <w:left w:w="0" w:type="dxa"/>
            <w:right w:w="0" w:type="dxa"/>
          </w:tblCellMar>
          <w:tblLook w:val="0000"/>
        </w:tblPrEx>
        <w:trPr>
          <w:trHeight w:val="293"/>
        </w:trPr>
        <w:tc>
          <w:tcPr>
            <w:tcW w:w="1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Mermer ve Ürünleri</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1766.00</w:t>
            </w:r>
          </w:p>
        </w:tc>
        <w:tc>
          <w:tcPr>
            <w:tcW w:w="10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1668.91</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1784.73</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2914.21</w:t>
            </w: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2293.40</w:t>
            </w:r>
          </w:p>
        </w:tc>
        <w:tc>
          <w:tcPr>
            <w:tcW w:w="10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1889.00</w:t>
            </w:r>
          </w:p>
        </w:tc>
      </w:tr>
      <w:tr w:rsidTr="00BE30FE">
        <w:tblPrEx>
          <w:tblW w:w="0" w:type="auto"/>
          <w:tblLayout w:type="fixed"/>
          <w:tblCellMar>
            <w:left w:w="0" w:type="dxa"/>
            <w:right w:w="0" w:type="dxa"/>
          </w:tblCellMar>
          <w:tblLook w:val="0000"/>
        </w:tblPrEx>
        <w:trPr>
          <w:trHeight w:val="71"/>
        </w:trPr>
        <w:tc>
          <w:tcPr>
            <w:tcW w:w="1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89"/>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Kayağantaş</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1931.25</w:t>
            </w: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2107.40</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2350.41</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2110.10</w:t>
            </w: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2072.05</w:t>
            </w: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2417.00</w:t>
            </w:r>
          </w:p>
        </w:tc>
      </w:tr>
      <w:tr w:rsidTr="00BE30FE">
        <w:tblPrEx>
          <w:tblW w:w="0" w:type="auto"/>
          <w:tblLayout w:type="fixed"/>
          <w:tblCellMar>
            <w:left w:w="0" w:type="dxa"/>
            <w:right w:w="0" w:type="dxa"/>
          </w:tblCellMar>
          <w:tblLook w:val="0000"/>
        </w:tblPrEx>
        <w:trPr>
          <w:trHeight w:val="75"/>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85"/>
        </w:trPr>
        <w:tc>
          <w:tcPr>
            <w:tcW w:w="1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Diğer taş ürünleri</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5505.63</w:t>
            </w:r>
          </w:p>
        </w:tc>
        <w:tc>
          <w:tcPr>
            <w:tcW w:w="10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6937.57</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10640.45</w:t>
            </w: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12816.68</w:t>
            </w: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9776.56</w:t>
            </w:r>
          </w:p>
        </w:tc>
        <w:tc>
          <w:tcPr>
            <w:tcW w:w="10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8989.00</w:t>
            </w:r>
          </w:p>
        </w:tc>
      </w:tr>
      <w:tr w:rsidTr="00BE30FE">
        <w:tblPrEx>
          <w:tblW w:w="0" w:type="auto"/>
          <w:tblLayout w:type="fixed"/>
          <w:tblCellMar>
            <w:left w:w="0" w:type="dxa"/>
            <w:right w:w="0" w:type="dxa"/>
          </w:tblCellMar>
          <w:tblLook w:val="0000"/>
        </w:tblPrEx>
        <w:trPr>
          <w:trHeight w:val="79"/>
        </w:trPr>
        <w:tc>
          <w:tcPr>
            <w:tcW w:w="19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c>
          <w:tcPr>
            <w:tcW w:w="1080" w:type="dxa"/>
            <w:tcBorders>
              <w:top w:val="nil"/>
              <w:left w:val="nil"/>
              <w:bottom w:val="nil"/>
              <w:right w:val="nil"/>
            </w:tcBorders>
            <w:vAlign w:val="bottom"/>
          </w:tcPr>
          <w:p w:rsidR="00A45A05" w:rsidRPr="007C5F5A" w:rsidP="00BE30FE">
            <w:pPr>
              <w:widowControl w:val="0"/>
              <w:autoSpaceDE w:val="0"/>
              <w:autoSpaceDN w:val="0"/>
              <w:adjustRightInd w:val="0"/>
              <w:spacing w:after="0" w:line="240" w:lineRule="auto"/>
              <w:rPr>
                <w:rFonts w:ascii="Times New Roman" w:hAnsi="Times New Roman"/>
                <w:sz w:val="6"/>
                <w:szCs w:val="6"/>
              </w:rPr>
            </w:pPr>
          </w:p>
        </w:tc>
      </w:tr>
      <w:tr w:rsidTr="00BE30FE">
        <w:tblPrEx>
          <w:tblW w:w="0" w:type="auto"/>
          <w:tblLayout w:type="fixed"/>
          <w:tblCellMar>
            <w:left w:w="0" w:type="dxa"/>
            <w:right w:w="0" w:type="dxa"/>
          </w:tblCellMar>
          <w:tblLook w:val="0000"/>
        </w:tblPrEx>
        <w:trPr>
          <w:trHeight w:val="281"/>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Genel Toplam</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20"/>
              <w:rPr>
                <w:rFonts w:ascii="Times New Roman" w:hAnsi="Times New Roman"/>
                <w:sz w:val="24"/>
                <w:szCs w:val="24"/>
              </w:rPr>
            </w:pPr>
            <w:r w:rsidRPr="007C5F5A">
              <w:rPr>
                <w:rFonts w:ascii="Arial" w:hAnsi="Arial" w:cs="Arial"/>
                <w:color w:val="1F1A17"/>
                <w:sz w:val="16"/>
                <w:szCs w:val="16"/>
              </w:rPr>
              <w:t>3641.20</w:t>
            </w: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45619.79</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62024.01</w:t>
            </w: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200"/>
              <w:rPr>
                <w:rFonts w:ascii="Times New Roman" w:hAnsi="Times New Roman"/>
                <w:sz w:val="24"/>
                <w:szCs w:val="24"/>
              </w:rPr>
            </w:pPr>
            <w:r w:rsidRPr="007C5F5A">
              <w:rPr>
                <w:rFonts w:ascii="Arial" w:hAnsi="Arial" w:cs="Arial"/>
                <w:color w:val="1F1A17"/>
                <w:sz w:val="16"/>
                <w:szCs w:val="16"/>
              </w:rPr>
              <w:t>60715.84</w:t>
            </w: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62291.01</w:t>
            </w: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ind w:left="140"/>
              <w:rPr>
                <w:rFonts w:ascii="Times New Roman" w:hAnsi="Times New Roman"/>
                <w:sz w:val="24"/>
                <w:szCs w:val="24"/>
              </w:rPr>
            </w:pPr>
            <w:r w:rsidRPr="007C5F5A">
              <w:rPr>
                <w:rFonts w:ascii="Arial" w:hAnsi="Arial" w:cs="Arial"/>
                <w:color w:val="1F1A17"/>
                <w:sz w:val="16"/>
                <w:szCs w:val="16"/>
              </w:rPr>
              <w:t>63800.00</w:t>
            </w:r>
          </w:p>
        </w:tc>
      </w:tr>
      <w:tr w:rsidTr="00BE30FE">
        <w:tblPrEx>
          <w:tblW w:w="0" w:type="auto"/>
          <w:tblLayout w:type="fixed"/>
          <w:tblCellMar>
            <w:left w:w="0" w:type="dxa"/>
            <w:right w:w="0" w:type="dxa"/>
          </w:tblCellMar>
          <w:tblLook w:val="0000"/>
        </w:tblPrEx>
        <w:trPr>
          <w:trHeight w:val="82"/>
        </w:trPr>
        <w:tc>
          <w:tcPr>
            <w:tcW w:w="19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9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96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c>
          <w:tcPr>
            <w:tcW w:w="1080" w:type="dxa"/>
            <w:tcBorders>
              <w:top w:val="nil"/>
              <w:left w:val="nil"/>
              <w:bottom w:val="nil"/>
              <w:right w:val="nil"/>
            </w:tcBorders>
            <w:shd w:val="clear" w:color="auto" w:fill="F7C44A"/>
            <w:vAlign w:val="bottom"/>
          </w:tcPr>
          <w:p w:rsidR="00A45A05" w:rsidRPr="007C5F5A" w:rsidP="00BE30FE">
            <w:pPr>
              <w:widowControl w:val="0"/>
              <w:autoSpaceDE w:val="0"/>
              <w:autoSpaceDN w:val="0"/>
              <w:adjustRightInd w:val="0"/>
              <w:spacing w:after="0" w:line="240" w:lineRule="auto"/>
              <w:rPr>
                <w:rFonts w:ascii="Times New Roman" w:hAnsi="Times New Roman"/>
                <w:sz w:val="7"/>
                <w:szCs w:val="7"/>
              </w:rPr>
            </w:pPr>
          </w:p>
        </w:tc>
      </w:tr>
    </w:tbl>
    <w:p w:rsidR="00A45A05" w:rsidRPr="007C5F5A" w:rsidP="00A45A05">
      <w:pPr>
        <w:widowControl w:val="0"/>
        <w:autoSpaceDE w:val="0"/>
        <w:autoSpaceDN w:val="0"/>
        <w:adjustRightInd w:val="0"/>
        <w:spacing w:after="0" w:line="192" w:lineRule="exact"/>
        <w:rPr>
          <w:rFonts w:ascii="Times New Roman" w:hAnsi="Times New Roman"/>
          <w:sz w:val="24"/>
          <w:szCs w:val="24"/>
        </w:rPr>
      </w:pPr>
    </w:p>
    <w:p w:rsidR="00A45A05" w:rsidRPr="007C5F5A" w:rsidP="00A45A05">
      <w:pPr>
        <w:widowControl w:val="0"/>
        <w:autoSpaceDE w:val="0"/>
        <w:autoSpaceDN w:val="0"/>
        <w:adjustRightInd w:val="0"/>
        <w:spacing w:after="0" w:line="240" w:lineRule="auto"/>
        <w:rPr>
          <w:rFonts w:ascii="Times New Roman" w:hAnsi="Times New Roman"/>
          <w:sz w:val="24"/>
          <w:szCs w:val="24"/>
        </w:rPr>
      </w:pPr>
      <w:r w:rsidRPr="007C5F5A">
        <w:rPr>
          <w:rFonts w:ascii="Arial" w:hAnsi="Arial" w:cs="Arial"/>
          <w:color w:val="1F1A17"/>
          <w:sz w:val="16"/>
          <w:szCs w:val="16"/>
        </w:rPr>
        <w:t>*yaklaşık olarak</w:t>
      </w:r>
    </w:p>
    <w:p w:rsidR="00A45A05" w:rsidRPr="007C5F5A" w:rsidP="00A45A05">
      <w:pPr>
        <w:widowControl w:val="0"/>
        <w:autoSpaceDE w:val="0"/>
        <w:autoSpaceDN w:val="0"/>
        <w:adjustRightInd w:val="0"/>
        <w:spacing w:after="0" w:line="46" w:lineRule="exact"/>
        <w:rPr>
          <w:rFonts w:ascii="Times New Roman" w:hAnsi="Times New Roman"/>
          <w:sz w:val="24"/>
          <w:szCs w:val="24"/>
        </w:rPr>
      </w:pPr>
    </w:p>
    <w:p w:rsidR="00A45A05" w:rsidP="00A45A05">
      <w:pPr>
        <w:widowControl w:val="0"/>
        <w:overflowPunct w:val="0"/>
        <w:autoSpaceDE w:val="0"/>
        <w:autoSpaceDN w:val="0"/>
        <w:adjustRightInd w:val="0"/>
        <w:spacing w:after="0" w:line="303" w:lineRule="auto"/>
        <w:ind w:right="240"/>
        <w:rPr>
          <w:rFonts w:ascii="Arial" w:hAnsi="Arial" w:cs="Arial"/>
          <w:color w:val="1F1A17"/>
          <w:sz w:val="16"/>
          <w:szCs w:val="16"/>
        </w:rPr>
      </w:pPr>
      <w:r w:rsidRPr="007C5F5A">
        <w:rPr>
          <w:rFonts w:ascii="Arial" w:hAnsi="Arial" w:cs="Arial"/>
          <w:color w:val="1F1A17"/>
          <w:sz w:val="16"/>
          <w:szCs w:val="16"/>
        </w:rPr>
        <w:t xml:space="preserve">Hindistan taş ihracatçıları genellikle granit kesme bloklar, granit levha ve fayanslardan </w:t>
      </w:r>
      <w:r w:rsidRPr="007C5F5A" w:rsidR="003A2816">
        <w:rPr>
          <w:rFonts w:ascii="Arial" w:hAnsi="Arial" w:cs="Arial"/>
          <w:color w:val="1F1A17"/>
          <w:sz w:val="16"/>
          <w:szCs w:val="16"/>
        </w:rPr>
        <w:t>oluşmaktadır. Mermer</w:t>
      </w:r>
      <w:r w:rsidRPr="007C5F5A">
        <w:rPr>
          <w:rFonts w:ascii="Arial" w:hAnsi="Arial" w:cs="Arial"/>
          <w:color w:val="1F1A17"/>
          <w:sz w:val="16"/>
          <w:szCs w:val="16"/>
        </w:rPr>
        <w:t xml:space="preserve">, kayağantaş ve kum taşı payları son yıllar içinde düzgün şekilde artmaktadır. Hint taşlarının başlıca ihracatçıları ABD, </w:t>
      </w:r>
      <w:r w:rsidRPr="007C5F5A" w:rsidR="003A2816">
        <w:rPr>
          <w:rFonts w:ascii="Arial" w:hAnsi="Arial" w:cs="Arial"/>
          <w:color w:val="1F1A17"/>
          <w:sz w:val="16"/>
          <w:szCs w:val="16"/>
        </w:rPr>
        <w:t>İtalya, Tayvan</w:t>
      </w:r>
      <w:r w:rsidRPr="007C5F5A">
        <w:rPr>
          <w:rFonts w:ascii="Arial" w:hAnsi="Arial" w:cs="Arial"/>
          <w:color w:val="1F1A17"/>
          <w:sz w:val="16"/>
          <w:szCs w:val="16"/>
        </w:rPr>
        <w:t xml:space="preserve">, Japonya, Almanya ve </w:t>
      </w:r>
      <w:r w:rsidRPr="007C5F5A" w:rsidR="003A2816">
        <w:rPr>
          <w:rFonts w:ascii="Arial" w:hAnsi="Arial" w:cs="Arial"/>
          <w:color w:val="1F1A17"/>
          <w:sz w:val="16"/>
          <w:szCs w:val="16"/>
        </w:rPr>
        <w:t>Çin’dir</w:t>
      </w:r>
      <w:r w:rsidRPr="007C5F5A">
        <w:rPr>
          <w:rFonts w:ascii="Arial" w:hAnsi="Arial" w:cs="Arial"/>
          <w:color w:val="1F1A17"/>
          <w:sz w:val="16"/>
          <w:szCs w:val="16"/>
        </w:rPr>
        <w:t xml:space="preserve">. </w:t>
      </w: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00" w:lineRule="exact"/>
        <w:rPr>
          <w:rFonts w:ascii="Times New Roman" w:hAnsi="Times New Roman"/>
          <w:sz w:val="24"/>
          <w:szCs w:val="24"/>
        </w:rPr>
      </w:pPr>
    </w:p>
    <w:p w:rsidR="00A45A05" w:rsidRPr="007C5F5A" w:rsidP="00A45A05">
      <w:pPr>
        <w:widowControl w:val="0"/>
        <w:autoSpaceDE w:val="0"/>
        <w:autoSpaceDN w:val="0"/>
        <w:adjustRightInd w:val="0"/>
        <w:spacing w:after="0" w:line="286" w:lineRule="exact"/>
        <w:rPr>
          <w:rFonts w:ascii="Times New Roman" w:hAnsi="Times New Roman"/>
          <w:sz w:val="24"/>
          <w:szCs w:val="24"/>
        </w:rPr>
      </w:pPr>
    </w:p>
    <w:p w:rsidR="00A45A05" w:rsidP="00465A0B">
      <w:pPr>
        <w:widowControl w:val="0"/>
        <w:autoSpaceDE w:val="0"/>
        <w:autoSpaceDN w:val="0"/>
        <w:adjustRightInd w:val="0"/>
        <w:spacing w:after="0" w:line="240" w:lineRule="auto"/>
        <w:ind w:left="-2127"/>
        <w:rPr>
          <w:rFonts w:ascii="Arial" w:hAnsi="Arial" w:cs="Arial"/>
          <w:color w:val="1F1A17"/>
          <w:sz w:val="17"/>
          <w:szCs w:val="17"/>
        </w:rPr>
      </w:pPr>
      <w:r w:rsidRPr="007C5F5A">
        <w:rPr>
          <w:rFonts w:ascii="Arial" w:hAnsi="Arial" w:cs="Arial"/>
          <w:color w:val="1F1A17"/>
          <w:sz w:val="17"/>
          <w:szCs w:val="17"/>
        </w:rPr>
        <w:t xml:space="preserve">HİNDİSTAN-TÜRKİYE Ticari ve Ekonomik </w:t>
      </w:r>
      <w:r w:rsidRPr="007C5F5A" w:rsidR="003A2816">
        <w:rPr>
          <w:rFonts w:ascii="Arial" w:hAnsi="Arial" w:cs="Arial"/>
          <w:color w:val="1F1A17"/>
          <w:sz w:val="17"/>
          <w:szCs w:val="17"/>
        </w:rPr>
        <w:t>İlişkiler</w:t>
      </w:r>
      <w:r w:rsidRPr="007C5F5A">
        <w:rPr>
          <w:rFonts w:ascii="Arial" w:hAnsi="Arial" w:cs="Arial"/>
          <w:color w:val="1F1A17"/>
          <w:sz w:val="17"/>
          <w:szCs w:val="17"/>
        </w:rPr>
        <w:t>:Gelecek Beklentileri</w:t>
      </w:r>
    </w:p>
    <w:p w:rsidR="00A45A05" w:rsidRPr="007C5F5A" w:rsidP="00A45A05">
      <w:pPr>
        <w:widowControl w:val="0"/>
        <w:autoSpaceDE w:val="0"/>
        <w:autoSpaceDN w:val="0"/>
        <w:adjustRightInd w:val="0"/>
        <w:spacing w:after="0" w:line="240" w:lineRule="auto"/>
        <w:rPr>
          <w:rFonts w:ascii="Times New Roman" w:hAnsi="Times New Roman"/>
          <w:sz w:val="24"/>
          <w:szCs w:val="24"/>
        </w:rPr>
      </w:pPr>
    </w:p>
    <w:p w:rsidR="00BE30FE">
      <w:pPr>
        <w:widowControl w:val="0"/>
        <w:autoSpaceDE w:val="0"/>
        <w:autoSpaceDN w:val="0"/>
        <w:adjustRightInd w:val="0"/>
        <w:spacing w:after="0" w:line="200" w:lineRule="exact"/>
        <w:rPr>
          <w:rFonts w:ascii="Times New Roman" w:hAnsi="Times New Roman"/>
          <w:sz w:val="24"/>
          <w:szCs w:val="24"/>
          <w:highlight w:val="green"/>
        </w:rPr>
      </w:pPr>
      <w:bookmarkStart w:id="12" w:name="page50"/>
      <w:bookmarkEnd w:id="12"/>
    </w:p>
    <w:p w:rsidR="00BE30FE">
      <w:pPr>
        <w:widowControl w:val="0"/>
        <w:autoSpaceDE w:val="0"/>
        <w:autoSpaceDN w:val="0"/>
        <w:adjustRightInd w:val="0"/>
        <w:spacing w:after="0" w:line="200" w:lineRule="exact"/>
        <w:rPr>
          <w:rFonts w:ascii="Times New Roman" w:hAnsi="Times New Roman"/>
          <w:sz w:val="24"/>
          <w:szCs w:val="24"/>
          <w:highlight w:val="green"/>
        </w:rPr>
      </w:pPr>
    </w:p>
    <w:p w:rsidR="00BE30FE">
      <w:pPr>
        <w:widowControl w:val="0"/>
        <w:autoSpaceDE w:val="0"/>
        <w:autoSpaceDN w:val="0"/>
        <w:adjustRightInd w:val="0"/>
        <w:spacing w:after="0" w:line="200" w:lineRule="exact"/>
        <w:rPr>
          <w:rFonts w:ascii="Times New Roman" w:hAnsi="Times New Roman"/>
          <w:sz w:val="24"/>
          <w:szCs w:val="24"/>
          <w:highlight w:val="green"/>
        </w:rPr>
      </w:pPr>
    </w:p>
    <w:p w:rsidR="00BE30FE">
      <w:pPr>
        <w:widowControl w:val="0"/>
        <w:autoSpaceDE w:val="0"/>
        <w:autoSpaceDN w:val="0"/>
        <w:adjustRightInd w:val="0"/>
        <w:spacing w:after="0" w:line="200" w:lineRule="exact"/>
        <w:rPr>
          <w:rFonts w:ascii="Times New Roman" w:hAnsi="Times New Roman"/>
          <w:sz w:val="24"/>
          <w:szCs w:val="24"/>
          <w:highlight w:val="green"/>
        </w:rPr>
      </w:pPr>
    </w:p>
    <w:p w:rsidR="00BE30FE">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r>
        <w:rPr>
          <w:noProof/>
          <w:highlight w:val="green"/>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880350" cy="9446895"/>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1985" name="Picture 58"/>
                    <pic:cNvPicPr>
                      <a:picLocks noChangeAspect="1" noChangeArrowheads="1"/>
                    </pic:cNvPicPr>
                  </pic:nvPicPr>
                  <pic:blipFill>
                    <a:blip xmlns:r="http://schemas.openxmlformats.org/officeDocument/2006/relationships" r:embed="rId2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00" w:lineRule="exact"/>
        <w:rPr>
          <w:rFonts w:ascii="Times New Roman" w:hAnsi="Times New Roman"/>
          <w:sz w:val="24"/>
          <w:szCs w:val="24"/>
          <w:highlight w:val="green"/>
        </w:rPr>
      </w:pPr>
    </w:p>
    <w:p w:rsidR="00CD158B" w:rsidRPr="00162D10">
      <w:pPr>
        <w:widowControl w:val="0"/>
        <w:autoSpaceDE w:val="0"/>
        <w:autoSpaceDN w:val="0"/>
        <w:adjustRightInd w:val="0"/>
        <w:spacing w:after="0" w:line="233" w:lineRule="exact"/>
        <w:rPr>
          <w:rFonts w:ascii="Times New Roman" w:hAnsi="Times New Roman"/>
          <w:sz w:val="24"/>
          <w:szCs w:val="24"/>
          <w:highlight w:val="green"/>
        </w:rPr>
      </w:pPr>
    </w:p>
    <w:p w:rsidR="00036A52" w:rsidRPr="00162D10" w:rsidP="00036A52">
      <w:pPr>
        <w:widowControl w:val="0"/>
        <w:autoSpaceDE w:val="0"/>
        <w:autoSpaceDN w:val="0"/>
        <w:adjustRightInd w:val="0"/>
        <w:spacing w:after="0" w:line="200" w:lineRule="exact"/>
        <w:rPr>
          <w:rFonts w:ascii="Times New Roman" w:hAnsi="Times New Roman"/>
          <w:sz w:val="24"/>
          <w:szCs w:val="24"/>
          <w:highlight w:val="green"/>
        </w:rPr>
      </w:pPr>
    </w:p>
    <w:p w:rsidR="00036A52" w:rsidRPr="00162D10" w:rsidP="00036A52">
      <w:pPr>
        <w:widowControl w:val="0"/>
        <w:autoSpaceDE w:val="0"/>
        <w:autoSpaceDN w:val="0"/>
        <w:adjustRightInd w:val="0"/>
        <w:spacing w:after="0" w:line="200" w:lineRule="exact"/>
        <w:rPr>
          <w:rFonts w:ascii="Times New Roman" w:hAnsi="Times New Roman"/>
          <w:sz w:val="24"/>
          <w:szCs w:val="24"/>
          <w:highlight w:val="green"/>
        </w:rPr>
      </w:pPr>
    </w:p>
    <w:p w:rsidR="00036A52" w:rsidRPr="00162D10" w:rsidP="00036A52">
      <w:pPr>
        <w:widowControl w:val="0"/>
        <w:autoSpaceDE w:val="0"/>
        <w:autoSpaceDN w:val="0"/>
        <w:adjustRightInd w:val="0"/>
        <w:spacing w:after="0" w:line="233" w:lineRule="exact"/>
        <w:rPr>
          <w:rFonts w:ascii="Times New Roman" w:hAnsi="Times New Roman"/>
          <w:sz w:val="24"/>
          <w:szCs w:val="24"/>
          <w:highlight w:val="green"/>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b/>
          <w:bCs/>
          <w:color w:val="E87817"/>
        </w:rPr>
        <w:t>Mermer</w:t>
      </w:r>
    </w:p>
    <w:p w:rsidR="00036A52" w:rsidRPr="00E43688" w:rsidP="00036A52">
      <w:pPr>
        <w:widowControl w:val="0"/>
        <w:autoSpaceDE w:val="0"/>
        <w:autoSpaceDN w:val="0"/>
        <w:adjustRightInd w:val="0"/>
        <w:spacing w:after="0" w:line="263"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E43688">
        <w:rPr>
          <w:rFonts w:ascii="Arial" w:hAnsi="Arial" w:cs="Arial"/>
          <w:color w:val="1F1A17"/>
        </w:rPr>
        <w:t>Rajasthan, Gujarat, MadhyaPradesh, Haryana ve AndhraPradesh eyaletleri başta olmak üzere Hindistan’da ekonomik öneme sahip mermer yatakları yaygındır. Yeni çeşitler yavaş yavaş Bihar, Jammu&amp;Kashmir, Maharashtra, Sikkim, UttarPradesh ve West Bengal eyaletlerinde ekonomik sömürü için geliştirilmektedir.</w:t>
      </w:r>
    </w:p>
    <w:p w:rsidR="00036A52" w:rsidRPr="00E43688" w:rsidP="00036A52">
      <w:pPr>
        <w:widowControl w:val="0"/>
        <w:autoSpaceDE w:val="0"/>
        <w:autoSpaceDN w:val="0"/>
        <w:adjustRightInd w:val="0"/>
        <w:spacing w:after="0" w:line="220"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E43688">
        <w:rPr>
          <w:rFonts w:ascii="Arial" w:hAnsi="Arial" w:cs="Arial"/>
          <w:color w:val="1F1A17"/>
        </w:rPr>
        <w:t>Rajasthan; Nagaur, Udaipur, Rajsamand, Banswara, Dungarpur, Jaipur, Sirohi, Bhilwara, Ajmer, Bundi, Alwar ve Pali bölgelerine yayılmış rezervi ile mermerin ana deposudur. Rajasthan’daki ana mermer çeşitleri; MakranaAlbeta White, MakranaKumari White, MakranaDungri White, JhiriOnyx, Phalodi Pink, Ambaji White, Indo-Italian, Babarmal Pink, Bhainslana Black, ForestGreen, Forest Brown, Agaria White, Morwar White ve benzeri gibidir.</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sidRPr="00E43688">
        <w:rPr>
          <w:rFonts w:ascii="Arial" w:hAnsi="Arial" w:cs="Arial"/>
          <w:color w:val="1F1A17"/>
        </w:rPr>
        <w:t>Rajasthan’ın hemen yanında Gujarat; Banskantha, Bharuch, Vadodara, Kachchh ve Panchmahals bölgelerinde ge</w:t>
      </w:r>
      <w:r w:rsidR="0035258E">
        <w:rPr>
          <w:rFonts w:ascii="Arial" w:hAnsi="Arial" w:cs="Arial"/>
          <w:color w:val="1F1A17"/>
        </w:rPr>
        <w:t>niş mermer rezervleri bulunmaktadır</w:t>
      </w:r>
      <w:r w:rsidRPr="00E43688">
        <w:rPr>
          <w:rFonts w:ascii="Arial" w:hAnsi="Arial" w:cs="Arial"/>
          <w:color w:val="1F1A17"/>
        </w:rPr>
        <w:t xml:space="preserve">. Bunlar arasında, Banaskantha bölgesindeki Ambaji kenti ve Vadodara bölgesindeki Chunchupura kenti, mermer için ana taşocakçılık merkezleridir. AndhraPradesh’teki mermer yatakları Guntur, Khammam, Cuddapah, Kurnool ve Anantapur bölgelerine yayılmıştır.Bhedaghat, Katni ve MadhyaPradesh’tekiJabalpur’un yakınında bulunan Majholi’deki mermer kayaları son keşiflerdendir. </w:t>
      </w:r>
    </w:p>
    <w:p w:rsidR="00036A52" w:rsidRPr="00E43688" w:rsidP="00036A52">
      <w:pPr>
        <w:widowControl w:val="0"/>
        <w:autoSpaceDE w:val="0"/>
        <w:autoSpaceDN w:val="0"/>
        <w:adjustRightInd w:val="0"/>
        <w:spacing w:after="0" w:line="224"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9" w:lineRule="auto"/>
        <w:jc w:val="both"/>
        <w:rPr>
          <w:rFonts w:ascii="Times New Roman" w:hAnsi="Times New Roman"/>
          <w:sz w:val="24"/>
          <w:szCs w:val="24"/>
        </w:rPr>
      </w:pPr>
      <w:r w:rsidRPr="00E43688">
        <w:rPr>
          <w:rFonts w:ascii="Arial" w:hAnsi="Arial" w:cs="Arial"/>
          <w:color w:val="1F1A17"/>
        </w:rPr>
        <w:t>Hindistan’daki mermer rezervleri 2000 yılında Hindistan Maden B</w:t>
      </w:r>
      <w:r w:rsidR="0035258E">
        <w:rPr>
          <w:rFonts w:ascii="Arial" w:hAnsi="Arial" w:cs="Arial"/>
          <w:color w:val="1F1A17"/>
        </w:rPr>
        <w:t>ürosu tarafından değerlendirilmiştir</w:t>
      </w:r>
      <w:r w:rsidRPr="00E43688">
        <w:rPr>
          <w:rFonts w:ascii="Arial" w:hAnsi="Arial" w:cs="Arial"/>
          <w:color w:val="1F1A17"/>
        </w:rPr>
        <w:t>.Akabinde, MadhyaPradesh’te 65 km² alana y</w:t>
      </w:r>
      <w:r w:rsidR="0035258E">
        <w:rPr>
          <w:rFonts w:ascii="Arial" w:hAnsi="Arial" w:cs="Arial"/>
          <w:color w:val="1F1A17"/>
        </w:rPr>
        <w:t>ayılan geniş yataklar keşfedilmiş</w:t>
      </w:r>
      <w:r w:rsidRPr="00E43688">
        <w:rPr>
          <w:rFonts w:ascii="Arial" w:hAnsi="Arial" w:cs="Arial"/>
          <w:color w:val="1F1A17"/>
        </w:rPr>
        <w:t xml:space="preserve"> v</w:t>
      </w:r>
      <w:r w:rsidR="0035258E">
        <w:rPr>
          <w:rFonts w:ascii="Arial" w:hAnsi="Arial" w:cs="Arial"/>
          <w:color w:val="1F1A17"/>
        </w:rPr>
        <w:t>e şu an aktif olarak yararlanılmaktadır</w:t>
      </w:r>
      <w:r w:rsidRPr="00E43688">
        <w:rPr>
          <w:rFonts w:ascii="Arial" w:hAnsi="Arial" w:cs="Arial"/>
          <w:color w:val="1F1A17"/>
        </w:rPr>
        <w:t xml:space="preserve">.    </w:t>
      </w:r>
    </w:p>
    <w:p w:rsidR="00036A52" w:rsidRPr="00E43688" w:rsidP="00036A52">
      <w:pPr>
        <w:widowControl w:val="0"/>
        <w:autoSpaceDE w:val="0"/>
        <w:autoSpaceDN w:val="0"/>
        <w:adjustRightInd w:val="0"/>
        <w:spacing w:after="0" w:line="262" w:lineRule="exact"/>
        <w:rPr>
          <w:rFonts w:ascii="Times New Roman" w:hAnsi="Times New Roman"/>
          <w:sz w:val="24"/>
          <w:szCs w:val="24"/>
        </w:rPr>
      </w:pPr>
    </w:p>
    <w:tbl>
      <w:tblPr>
        <w:tblW w:w="0" w:type="auto"/>
        <w:tblLayout w:type="fixed"/>
        <w:tblCellMar>
          <w:left w:w="0" w:type="dxa"/>
          <w:right w:w="0" w:type="dxa"/>
        </w:tblCellMar>
        <w:tblLook w:val="0000"/>
      </w:tblPr>
      <w:tblGrid>
        <w:gridCol w:w="2600"/>
        <w:gridCol w:w="5320"/>
      </w:tblGrid>
      <w:tr w:rsidTr="00036A52">
        <w:tblPrEx>
          <w:tblW w:w="0" w:type="auto"/>
          <w:tblLayout w:type="fixed"/>
          <w:tblCellMar>
            <w:left w:w="0" w:type="dxa"/>
            <w:right w:w="0" w:type="dxa"/>
          </w:tblCellMar>
          <w:tblLook w:val="0000"/>
        </w:tblPrEx>
        <w:trPr>
          <w:trHeight w:val="296"/>
        </w:trPr>
        <w:tc>
          <w:tcPr>
            <w:tcW w:w="2600" w:type="dxa"/>
            <w:tcBorders>
              <w:top w:val="nil"/>
              <w:left w:val="nil"/>
              <w:bottom w:val="single" w:sz="8" w:space="0" w:color="B85926"/>
              <w:right w:val="nil"/>
            </w:tcBorders>
            <w:shd w:val="clear" w:color="auto" w:fill="B85926"/>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5320" w:type="dxa"/>
            <w:tcBorders>
              <w:top w:val="nil"/>
              <w:left w:val="nil"/>
              <w:bottom w:val="single" w:sz="8" w:space="0" w:color="B85926"/>
              <w:right w:val="nil"/>
            </w:tcBorders>
            <w:shd w:val="clear" w:color="auto" w:fill="B85926"/>
            <w:vAlign w:val="bottom"/>
          </w:tcPr>
          <w:p w:rsidR="00036A52" w:rsidRPr="00E43688" w:rsidP="00036A52">
            <w:pPr>
              <w:widowControl w:val="0"/>
              <w:autoSpaceDE w:val="0"/>
              <w:autoSpaceDN w:val="0"/>
              <w:adjustRightInd w:val="0"/>
              <w:spacing w:after="0" w:line="240" w:lineRule="auto"/>
              <w:ind w:left="200"/>
              <w:rPr>
                <w:rFonts w:ascii="Times New Roman" w:hAnsi="Times New Roman"/>
                <w:sz w:val="24"/>
                <w:szCs w:val="24"/>
              </w:rPr>
            </w:pPr>
            <w:r w:rsidRPr="00E43688">
              <w:rPr>
                <w:rFonts w:ascii="Arial" w:hAnsi="Arial" w:cs="Arial"/>
                <w:b/>
                <w:bCs/>
                <w:color w:val="FFFFFF"/>
                <w:sz w:val="20"/>
                <w:szCs w:val="20"/>
              </w:rPr>
              <w:t>Hindistan’daki Mermer Yatakları</w:t>
            </w:r>
          </w:p>
        </w:tc>
      </w:tr>
      <w:tr w:rsidTr="00036A52">
        <w:tblPrEx>
          <w:tblW w:w="0" w:type="auto"/>
          <w:tblLayout w:type="fixed"/>
          <w:tblCellMar>
            <w:left w:w="0" w:type="dxa"/>
            <w:right w:w="0" w:type="dxa"/>
          </w:tblCellMar>
          <w:tblLook w:val="0000"/>
        </w:tblPrEx>
        <w:trPr>
          <w:trHeight w:val="336"/>
        </w:trPr>
        <w:tc>
          <w:tcPr>
            <w:tcW w:w="260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b/>
                <w:bCs/>
                <w:color w:val="FFFFFF"/>
                <w:sz w:val="20"/>
                <w:szCs w:val="20"/>
              </w:rPr>
              <w:t>Eyalet</w:t>
            </w:r>
          </w:p>
        </w:tc>
        <w:tc>
          <w:tcPr>
            <w:tcW w:w="532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2860"/>
              <w:rPr>
                <w:rFonts w:ascii="Times New Roman" w:hAnsi="Times New Roman"/>
                <w:sz w:val="24"/>
                <w:szCs w:val="24"/>
              </w:rPr>
            </w:pPr>
            <w:r w:rsidRPr="00E43688">
              <w:rPr>
                <w:rFonts w:ascii="Arial" w:hAnsi="Arial" w:cs="Arial"/>
                <w:b/>
                <w:bCs/>
                <w:color w:val="FFFFFF"/>
                <w:sz w:val="20"/>
                <w:szCs w:val="20"/>
              </w:rPr>
              <w:t>Toplam (milyon ton)</w:t>
            </w:r>
          </w:p>
        </w:tc>
      </w:tr>
      <w:tr w:rsidTr="00036A52">
        <w:tblPrEx>
          <w:tblW w:w="0" w:type="auto"/>
          <w:tblLayout w:type="fixed"/>
          <w:tblCellMar>
            <w:left w:w="0" w:type="dxa"/>
            <w:right w:w="0" w:type="dxa"/>
          </w:tblCellMar>
          <w:tblLook w:val="0000"/>
        </w:tblPrEx>
        <w:trPr>
          <w:trHeight w:val="299"/>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 xml:space="preserve">Tüm Hindistan’da toplam </w:t>
            </w: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4"/>
                <w:sz w:val="18"/>
                <w:szCs w:val="18"/>
              </w:rPr>
              <w:t>2216</w:t>
            </w:r>
          </w:p>
        </w:tc>
      </w:tr>
      <w:tr w:rsidTr="00036A52">
        <w:tblPrEx>
          <w:tblW w:w="0" w:type="auto"/>
          <w:tblLayout w:type="fixed"/>
          <w:tblCellMar>
            <w:left w:w="0" w:type="dxa"/>
            <w:right w:w="0" w:type="dxa"/>
          </w:tblCellMar>
          <w:tblLook w:val="0000"/>
        </w:tblPrEx>
        <w:trPr>
          <w:trHeight w:val="58"/>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336"/>
        </w:trPr>
        <w:tc>
          <w:tcPr>
            <w:tcW w:w="260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Rajasthan</w:t>
            </w:r>
          </w:p>
        </w:tc>
        <w:tc>
          <w:tcPr>
            <w:tcW w:w="53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4"/>
                <w:sz w:val="18"/>
                <w:szCs w:val="18"/>
              </w:rPr>
              <w:t>1144</w:t>
            </w:r>
          </w:p>
        </w:tc>
      </w:tr>
      <w:tr w:rsidTr="00036A52">
        <w:tblPrEx>
          <w:tblW w:w="0" w:type="auto"/>
          <w:tblLayout w:type="fixed"/>
          <w:tblCellMar>
            <w:left w:w="0" w:type="dxa"/>
            <w:right w:w="0" w:type="dxa"/>
          </w:tblCellMar>
          <w:tblLook w:val="0000"/>
        </w:tblPrEx>
        <w:trPr>
          <w:trHeight w:val="298"/>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Jammu&amp;Kashmir</w:t>
            </w: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9"/>
                <w:sz w:val="18"/>
                <w:szCs w:val="18"/>
              </w:rPr>
              <w:t>405</w:t>
            </w:r>
          </w:p>
        </w:tc>
      </w:tr>
      <w:tr w:rsidTr="00036A52">
        <w:tblPrEx>
          <w:tblW w:w="0" w:type="auto"/>
          <w:tblLayout w:type="fixed"/>
          <w:tblCellMar>
            <w:left w:w="0" w:type="dxa"/>
            <w:right w:w="0" w:type="dxa"/>
          </w:tblCellMar>
          <w:tblLook w:val="0000"/>
        </w:tblPrEx>
        <w:trPr>
          <w:trHeight w:val="59"/>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336"/>
        </w:trPr>
        <w:tc>
          <w:tcPr>
            <w:tcW w:w="260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MadhyaPradesh (tahmini</w:t>
            </w:r>
          </w:p>
        </w:tc>
        <w:tc>
          <w:tcPr>
            <w:tcW w:w="53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9"/>
                <w:sz w:val="18"/>
                <w:szCs w:val="18"/>
              </w:rPr>
              <w:t>400</w:t>
            </w:r>
          </w:p>
        </w:tc>
      </w:tr>
      <w:tr w:rsidTr="00036A52">
        <w:tblPrEx>
          <w:tblW w:w="0" w:type="auto"/>
          <w:tblLayout w:type="fixed"/>
          <w:tblCellMar>
            <w:left w:w="0" w:type="dxa"/>
            <w:right w:w="0" w:type="dxa"/>
          </w:tblCellMar>
          <w:tblLook w:val="0000"/>
        </w:tblPrEx>
        <w:trPr>
          <w:trHeight w:val="297"/>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Gujarat</w:t>
            </w: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308"/>
              <w:jc w:val="center"/>
              <w:rPr>
                <w:rFonts w:ascii="Times New Roman" w:hAnsi="Times New Roman"/>
                <w:sz w:val="24"/>
                <w:szCs w:val="24"/>
              </w:rPr>
            </w:pPr>
            <w:r w:rsidRPr="00E43688">
              <w:rPr>
                <w:rFonts w:ascii="Arial" w:hAnsi="Arial" w:cs="Arial"/>
                <w:color w:val="1F1A17"/>
                <w:w w:val="99"/>
                <w:sz w:val="18"/>
                <w:szCs w:val="18"/>
              </w:rPr>
              <w:t>95</w:t>
            </w:r>
          </w:p>
        </w:tc>
      </w:tr>
      <w:tr w:rsidTr="00036A52">
        <w:tblPrEx>
          <w:tblW w:w="0" w:type="auto"/>
          <w:tblLayout w:type="fixed"/>
          <w:tblCellMar>
            <w:left w:w="0" w:type="dxa"/>
            <w:right w:w="0" w:type="dxa"/>
          </w:tblCellMar>
          <w:tblLook w:val="0000"/>
        </w:tblPrEx>
        <w:trPr>
          <w:trHeight w:val="60"/>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6"/>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Chhattisgarh</w:t>
            </w: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308"/>
              <w:jc w:val="center"/>
              <w:rPr>
                <w:rFonts w:ascii="Times New Roman" w:hAnsi="Times New Roman"/>
                <w:sz w:val="24"/>
                <w:szCs w:val="24"/>
              </w:rPr>
            </w:pPr>
            <w:r w:rsidRPr="00E43688">
              <w:rPr>
                <w:rFonts w:ascii="Arial" w:hAnsi="Arial" w:cs="Arial"/>
                <w:color w:val="1F1A17"/>
                <w:w w:val="99"/>
                <w:sz w:val="18"/>
                <w:szCs w:val="18"/>
              </w:rPr>
              <w:t>83</w:t>
            </w:r>
          </w:p>
        </w:tc>
      </w:tr>
      <w:tr w:rsidTr="00036A52">
        <w:tblPrEx>
          <w:tblW w:w="0" w:type="auto"/>
          <w:tblLayout w:type="fixed"/>
          <w:tblCellMar>
            <w:left w:w="0" w:type="dxa"/>
            <w:right w:w="0" w:type="dxa"/>
          </w:tblCellMar>
          <w:tblLook w:val="0000"/>
        </w:tblPrEx>
        <w:trPr>
          <w:trHeight w:val="60"/>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6"/>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Maharashtra</w:t>
            </w: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308"/>
              <w:jc w:val="center"/>
              <w:rPr>
                <w:rFonts w:ascii="Times New Roman" w:hAnsi="Times New Roman"/>
                <w:sz w:val="24"/>
                <w:szCs w:val="24"/>
              </w:rPr>
            </w:pPr>
            <w:r w:rsidRPr="00E43688">
              <w:rPr>
                <w:rFonts w:ascii="Arial" w:hAnsi="Arial" w:cs="Arial"/>
                <w:color w:val="1F1A17"/>
                <w:w w:val="99"/>
                <w:sz w:val="18"/>
                <w:szCs w:val="18"/>
              </w:rPr>
              <w:t>59</w:t>
            </w:r>
          </w:p>
        </w:tc>
      </w:tr>
      <w:tr w:rsidTr="00036A52">
        <w:tblPrEx>
          <w:tblW w:w="0" w:type="auto"/>
          <w:tblLayout w:type="fixed"/>
          <w:tblCellMar>
            <w:left w:w="0" w:type="dxa"/>
            <w:right w:w="0" w:type="dxa"/>
          </w:tblCellMar>
          <w:tblLook w:val="0000"/>
        </w:tblPrEx>
        <w:trPr>
          <w:trHeight w:val="61"/>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5"/>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Haryana</w:t>
            </w: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308"/>
              <w:jc w:val="center"/>
              <w:rPr>
                <w:rFonts w:ascii="Times New Roman" w:hAnsi="Times New Roman"/>
                <w:sz w:val="24"/>
                <w:szCs w:val="24"/>
              </w:rPr>
            </w:pPr>
            <w:r w:rsidRPr="00E43688">
              <w:rPr>
                <w:rFonts w:ascii="Arial" w:hAnsi="Arial" w:cs="Arial"/>
                <w:color w:val="1F1A17"/>
                <w:w w:val="99"/>
                <w:sz w:val="18"/>
                <w:szCs w:val="18"/>
              </w:rPr>
              <w:t>22</w:t>
            </w:r>
          </w:p>
        </w:tc>
      </w:tr>
      <w:tr w:rsidTr="00036A52">
        <w:tblPrEx>
          <w:tblW w:w="0" w:type="auto"/>
          <w:tblLayout w:type="fixed"/>
          <w:tblCellMar>
            <w:left w:w="0" w:type="dxa"/>
            <w:right w:w="0" w:type="dxa"/>
          </w:tblCellMar>
          <w:tblLook w:val="0000"/>
        </w:tblPrEx>
        <w:trPr>
          <w:trHeight w:val="61"/>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5"/>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Uttaranchal</w:t>
            </w: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9"/>
                <w:sz w:val="18"/>
                <w:szCs w:val="18"/>
              </w:rPr>
              <w:t>6</w:t>
            </w:r>
          </w:p>
        </w:tc>
      </w:tr>
      <w:tr w:rsidTr="00036A52">
        <w:tblPrEx>
          <w:tblW w:w="0" w:type="auto"/>
          <w:tblLayout w:type="fixed"/>
          <w:tblCellMar>
            <w:left w:w="0" w:type="dxa"/>
            <w:right w:w="0" w:type="dxa"/>
          </w:tblCellMar>
          <w:tblLook w:val="0000"/>
        </w:tblPrEx>
        <w:trPr>
          <w:trHeight w:val="62"/>
        </w:trPr>
        <w:tc>
          <w:tcPr>
            <w:tcW w:w="2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4"/>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Sikkim</w:t>
            </w: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328"/>
              <w:jc w:val="center"/>
              <w:rPr>
                <w:rFonts w:ascii="Times New Roman" w:hAnsi="Times New Roman"/>
                <w:sz w:val="24"/>
                <w:szCs w:val="24"/>
              </w:rPr>
            </w:pPr>
            <w:r w:rsidRPr="00E43688">
              <w:rPr>
                <w:rFonts w:ascii="Arial" w:hAnsi="Arial" w:cs="Arial"/>
                <w:color w:val="1F1A17"/>
                <w:w w:val="99"/>
                <w:sz w:val="18"/>
                <w:szCs w:val="18"/>
              </w:rPr>
              <w:t>2</w:t>
            </w:r>
          </w:p>
        </w:tc>
      </w:tr>
      <w:tr w:rsidTr="00036A52">
        <w:tblPrEx>
          <w:tblW w:w="0" w:type="auto"/>
          <w:tblLayout w:type="fixed"/>
          <w:tblCellMar>
            <w:left w:w="0" w:type="dxa"/>
            <w:right w:w="0" w:type="dxa"/>
          </w:tblCellMar>
          <w:tblLook w:val="0000"/>
        </w:tblPrEx>
        <w:trPr>
          <w:trHeight w:val="62"/>
        </w:trPr>
        <w:tc>
          <w:tcPr>
            <w:tcW w:w="26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3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bl>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0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E43688">
        <w:rPr>
          <w:rFonts w:ascii="Arial" w:hAnsi="Arial" w:cs="Arial"/>
          <w:color w:val="1F1A17"/>
          <w:sz w:val="17"/>
          <w:szCs w:val="17"/>
        </w:rPr>
        <w:t>HİNDİSTAN-TÜRKİYE Ticari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8416" behindDoc="1" locked="0" layoutInCell="0" allowOverlap="1">
            <wp:simplePos x="0" y="0"/>
            <wp:positionH relativeFrom="page">
              <wp:posOffset>0</wp:posOffset>
            </wp:positionH>
            <wp:positionV relativeFrom="page">
              <wp:posOffset>377190</wp:posOffset>
            </wp:positionV>
            <wp:extent cx="7880350" cy="9897110"/>
            <wp:effectExtent l="0" t="0" r="0" b="0"/>
            <wp:wrapNone/>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28499" name="Picture 199"/>
                    <pic:cNvPicPr>
                      <a:picLocks noChangeAspect="1" noChangeArrowheads="1"/>
                    </pic:cNvPicPr>
                  </pic:nvPicPr>
                  <pic:blipFill>
                    <a:blip xmlns:r="http://schemas.openxmlformats.org/officeDocument/2006/relationships" r:embed="rId2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33" w:lineRule="exact"/>
        <w:rPr>
          <w:rFonts w:ascii="Times New Roman" w:hAnsi="Times New Roman"/>
          <w:sz w:val="24"/>
          <w:szCs w:val="24"/>
        </w:rPr>
      </w:pPr>
    </w:p>
    <w:p w:rsidR="00036A52" w:rsidRPr="00E43688" w:rsidP="0035258E">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b/>
          <w:bCs/>
          <w:color w:val="E87817"/>
        </w:rPr>
        <w:t>Granit</w:t>
      </w: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sidRPr="00E43688">
        <w:rPr>
          <w:rFonts w:ascii="Arial" w:hAnsi="Arial" w:cs="Arial"/>
          <w:color w:val="1F1A17"/>
        </w:rPr>
        <w:t xml:space="preserve">Hindistan, 200’ün üzerinde gölgeyi kapsayan mükemmel çeşitliliği olan, dünyadaki en iyi granit yataklarından biriyle donatılmıştır.Hindistan’da dünya granit yataklarının % 20’sinden fazlası bulunmaktadır.Hindistan granit rezervleri Hindistan maden bürosu tarafından 42.916 milyon metrekübün üstünde tahmin edilmektedir. Karnataka, AndhraPradesh, Tamil Nadu ve UttarPradesh eyaletlerinde granitin parlak siyah ve renkli çeşitleri mevcuttur. Granit yatakları  Rajasthan, Bihar, West Bengal ve Gujarat vilayetleri üzerinde de yaygındır.Hindistan dünyada en büyük granit ve granit ürünleri ihracatçısıdır. </w:t>
      </w:r>
    </w:p>
    <w:p w:rsidR="00036A52" w:rsidRPr="00E43688" w:rsidP="00036A52">
      <w:pPr>
        <w:widowControl w:val="0"/>
        <w:autoSpaceDE w:val="0"/>
        <w:autoSpaceDN w:val="0"/>
        <w:adjustRightInd w:val="0"/>
        <w:spacing w:after="0" w:line="311" w:lineRule="exact"/>
        <w:rPr>
          <w:rFonts w:ascii="Times New Roman" w:hAnsi="Times New Roman"/>
          <w:sz w:val="24"/>
          <w:szCs w:val="24"/>
        </w:rPr>
      </w:pPr>
    </w:p>
    <w:tbl>
      <w:tblPr>
        <w:tblW w:w="0" w:type="auto"/>
        <w:tblLayout w:type="fixed"/>
        <w:tblCellMar>
          <w:left w:w="0" w:type="dxa"/>
          <w:right w:w="0" w:type="dxa"/>
        </w:tblCellMar>
        <w:tblLook w:val="0000"/>
      </w:tblPr>
      <w:tblGrid>
        <w:gridCol w:w="2080"/>
        <w:gridCol w:w="5840"/>
      </w:tblGrid>
      <w:tr w:rsidTr="00036A52">
        <w:tblPrEx>
          <w:tblW w:w="0" w:type="auto"/>
          <w:tblLayout w:type="fixed"/>
          <w:tblCellMar>
            <w:left w:w="0" w:type="dxa"/>
            <w:right w:w="0" w:type="dxa"/>
          </w:tblCellMar>
          <w:tblLook w:val="0000"/>
        </w:tblPrEx>
        <w:trPr>
          <w:trHeight w:val="296"/>
        </w:trPr>
        <w:tc>
          <w:tcPr>
            <w:tcW w:w="2080" w:type="dxa"/>
            <w:tcBorders>
              <w:top w:val="nil"/>
              <w:left w:val="nil"/>
              <w:bottom w:val="single" w:sz="8" w:space="0" w:color="B85926"/>
              <w:right w:val="nil"/>
            </w:tcBorders>
            <w:shd w:val="clear" w:color="auto" w:fill="B85926"/>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5840" w:type="dxa"/>
            <w:tcBorders>
              <w:top w:val="nil"/>
              <w:left w:val="nil"/>
              <w:bottom w:val="single" w:sz="8" w:space="0" w:color="B85926"/>
              <w:right w:val="nil"/>
            </w:tcBorders>
            <w:shd w:val="clear" w:color="auto" w:fill="B85926"/>
            <w:vAlign w:val="bottom"/>
          </w:tcPr>
          <w:p w:rsidR="00036A52" w:rsidRPr="00E43688" w:rsidP="00036A52">
            <w:pPr>
              <w:widowControl w:val="0"/>
              <w:autoSpaceDE w:val="0"/>
              <w:autoSpaceDN w:val="0"/>
              <w:adjustRightInd w:val="0"/>
              <w:spacing w:after="0" w:line="240" w:lineRule="auto"/>
              <w:ind w:left="700"/>
              <w:rPr>
                <w:rFonts w:ascii="Times New Roman" w:hAnsi="Times New Roman"/>
                <w:sz w:val="24"/>
                <w:szCs w:val="24"/>
              </w:rPr>
            </w:pPr>
            <w:r w:rsidRPr="00E43688">
              <w:rPr>
                <w:rFonts w:ascii="Arial" w:hAnsi="Arial" w:cs="Arial"/>
                <w:b/>
                <w:bCs/>
                <w:color w:val="FFFFFF"/>
                <w:sz w:val="20"/>
                <w:szCs w:val="20"/>
              </w:rPr>
              <w:t>Hindistan’daki Granit Yatakları</w:t>
            </w:r>
          </w:p>
        </w:tc>
      </w:tr>
      <w:tr w:rsidTr="00036A52">
        <w:tblPrEx>
          <w:tblW w:w="0" w:type="auto"/>
          <w:tblLayout w:type="fixed"/>
          <w:tblCellMar>
            <w:left w:w="0" w:type="dxa"/>
            <w:right w:w="0" w:type="dxa"/>
          </w:tblCellMar>
          <w:tblLook w:val="0000"/>
        </w:tblPrEx>
        <w:trPr>
          <w:trHeight w:val="336"/>
        </w:trPr>
        <w:tc>
          <w:tcPr>
            <w:tcW w:w="208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b/>
                <w:bCs/>
                <w:color w:val="FFFFFF"/>
                <w:sz w:val="20"/>
                <w:szCs w:val="20"/>
              </w:rPr>
              <w:t>Eyalet</w:t>
            </w:r>
          </w:p>
        </w:tc>
        <w:tc>
          <w:tcPr>
            <w:tcW w:w="584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3400"/>
              <w:rPr>
                <w:rFonts w:ascii="Times New Roman" w:hAnsi="Times New Roman"/>
                <w:sz w:val="24"/>
                <w:szCs w:val="24"/>
              </w:rPr>
            </w:pPr>
            <w:r w:rsidRPr="00E43688">
              <w:rPr>
                <w:rFonts w:ascii="Arial" w:hAnsi="Arial" w:cs="Arial"/>
                <w:b/>
                <w:bCs/>
                <w:color w:val="FFFFFF"/>
                <w:sz w:val="20"/>
                <w:szCs w:val="20"/>
              </w:rPr>
              <w:t>Toplam (milyon ton)</w:t>
            </w:r>
          </w:p>
        </w:tc>
      </w:tr>
      <w:tr w:rsidTr="00036A52">
        <w:tblPrEx>
          <w:tblW w:w="0" w:type="auto"/>
          <w:tblLayout w:type="fixed"/>
          <w:tblCellMar>
            <w:left w:w="0" w:type="dxa"/>
            <w:right w:w="0" w:type="dxa"/>
          </w:tblCellMar>
          <w:tblLook w:val="0000"/>
        </w:tblPrEx>
        <w:trPr>
          <w:trHeight w:val="20"/>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79"/>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8"/>
                <w:szCs w:val="18"/>
              </w:rPr>
              <w:t>Tüm Hindistan’da toplam</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5"/>
                <w:sz w:val="18"/>
                <w:szCs w:val="18"/>
              </w:rPr>
              <w:t>42916</w:t>
            </w:r>
          </w:p>
        </w:tc>
      </w:tr>
      <w:tr w:rsidTr="00036A52">
        <w:tblPrEx>
          <w:tblW w:w="0" w:type="auto"/>
          <w:tblLayout w:type="fixed"/>
          <w:tblCellMar>
            <w:left w:w="0" w:type="dxa"/>
            <w:right w:w="0" w:type="dxa"/>
          </w:tblCellMar>
          <w:tblLook w:val="0000"/>
        </w:tblPrEx>
        <w:trPr>
          <w:trHeight w:val="58"/>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336"/>
        </w:trPr>
        <w:tc>
          <w:tcPr>
            <w:tcW w:w="20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Karnataka</w:t>
            </w:r>
          </w:p>
        </w:tc>
        <w:tc>
          <w:tcPr>
            <w:tcW w:w="58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89"/>
                <w:sz w:val="18"/>
                <w:szCs w:val="18"/>
              </w:rPr>
              <w:t>9740</w:t>
            </w:r>
          </w:p>
        </w:tc>
      </w:tr>
      <w:tr w:rsidTr="00036A52">
        <w:tblPrEx>
          <w:tblW w:w="0" w:type="auto"/>
          <w:tblLayout w:type="fixed"/>
          <w:tblCellMar>
            <w:left w:w="0" w:type="dxa"/>
            <w:right w:w="0" w:type="dxa"/>
          </w:tblCellMar>
          <w:tblLook w:val="0000"/>
        </w:tblPrEx>
        <w:trPr>
          <w:trHeight w:val="298"/>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Jharkhand</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8847</w:t>
            </w:r>
          </w:p>
        </w:tc>
      </w:tr>
      <w:tr w:rsidTr="00036A52">
        <w:tblPrEx>
          <w:tblW w:w="0" w:type="auto"/>
          <w:tblLayout w:type="fixed"/>
          <w:tblCellMar>
            <w:left w:w="0" w:type="dxa"/>
            <w:right w:w="0" w:type="dxa"/>
          </w:tblCellMar>
          <w:tblLook w:val="0000"/>
        </w:tblPrEx>
        <w:trPr>
          <w:trHeight w:val="59"/>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336"/>
        </w:trPr>
        <w:tc>
          <w:tcPr>
            <w:tcW w:w="20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Rajasthan</w:t>
            </w:r>
          </w:p>
        </w:tc>
        <w:tc>
          <w:tcPr>
            <w:tcW w:w="58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8479</w:t>
            </w:r>
          </w:p>
        </w:tc>
      </w:tr>
      <w:tr w:rsidTr="00036A52">
        <w:tblPrEx>
          <w:tblW w:w="0" w:type="auto"/>
          <w:tblLayout w:type="fixed"/>
          <w:tblCellMar>
            <w:left w:w="0" w:type="dxa"/>
            <w:right w:w="0" w:type="dxa"/>
          </w:tblCellMar>
          <w:tblLook w:val="0000"/>
        </w:tblPrEx>
        <w:trPr>
          <w:trHeight w:val="297"/>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AndhraPradesh</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2788</w:t>
            </w:r>
          </w:p>
        </w:tc>
      </w:tr>
      <w:tr w:rsidTr="00036A52">
        <w:tblPrEx>
          <w:tblW w:w="0" w:type="auto"/>
          <w:tblLayout w:type="fixed"/>
          <w:tblCellMar>
            <w:left w:w="0" w:type="dxa"/>
            <w:right w:w="0" w:type="dxa"/>
          </w:tblCellMar>
          <w:tblLook w:val="0000"/>
        </w:tblPrEx>
        <w:trPr>
          <w:trHeight w:val="60"/>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6"/>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Orissa</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2135</w:t>
            </w:r>
          </w:p>
        </w:tc>
      </w:tr>
      <w:tr w:rsidTr="00036A52">
        <w:tblPrEx>
          <w:tblW w:w="0" w:type="auto"/>
          <w:tblLayout w:type="fixed"/>
          <w:tblCellMar>
            <w:left w:w="0" w:type="dxa"/>
            <w:right w:w="0" w:type="dxa"/>
          </w:tblCellMar>
          <w:tblLook w:val="0000"/>
        </w:tblPrEx>
        <w:trPr>
          <w:trHeight w:val="60"/>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6"/>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Maharashtra</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878</w:t>
            </w:r>
          </w:p>
        </w:tc>
      </w:tr>
      <w:tr w:rsidTr="00036A52">
        <w:tblPrEx>
          <w:tblW w:w="0" w:type="auto"/>
          <w:tblLayout w:type="fixed"/>
          <w:tblCellMar>
            <w:left w:w="0" w:type="dxa"/>
            <w:right w:w="0" w:type="dxa"/>
          </w:tblCellMar>
          <w:tblLook w:val="0000"/>
        </w:tblPrEx>
        <w:trPr>
          <w:trHeight w:val="61"/>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5"/>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Tamil Nadu</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3"/>
                <w:sz w:val="18"/>
                <w:szCs w:val="18"/>
              </w:rPr>
              <w:t>713</w:t>
            </w:r>
          </w:p>
        </w:tc>
      </w:tr>
      <w:tr w:rsidTr="00036A52">
        <w:tblPrEx>
          <w:tblW w:w="0" w:type="auto"/>
          <w:tblLayout w:type="fixed"/>
          <w:tblCellMar>
            <w:left w:w="0" w:type="dxa"/>
            <w:right w:w="0" w:type="dxa"/>
          </w:tblCellMar>
          <w:tblLook w:val="0000"/>
        </w:tblPrEx>
        <w:trPr>
          <w:trHeight w:val="61"/>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5"/>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Assam</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584</w:t>
            </w:r>
          </w:p>
        </w:tc>
      </w:tr>
      <w:tr w:rsidTr="00036A52">
        <w:tblPrEx>
          <w:tblW w:w="0" w:type="auto"/>
          <w:tblLayout w:type="fixed"/>
          <w:tblCellMar>
            <w:left w:w="0" w:type="dxa"/>
            <w:right w:w="0" w:type="dxa"/>
          </w:tblCellMar>
          <w:tblLook w:val="0000"/>
        </w:tblPrEx>
        <w:trPr>
          <w:trHeight w:val="62"/>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4"/>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UttarPradesh</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495</w:t>
            </w:r>
          </w:p>
        </w:tc>
      </w:tr>
      <w:tr w:rsidTr="00036A52">
        <w:tblPrEx>
          <w:tblW w:w="0" w:type="auto"/>
          <w:tblLayout w:type="fixed"/>
          <w:tblCellMar>
            <w:left w:w="0" w:type="dxa"/>
            <w:right w:w="0" w:type="dxa"/>
          </w:tblCellMar>
          <w:tblLook w:val="0000"/>
        </w:tblPrEx>
        <w:trPr>
          <w:trHeight w:val="62"/>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4"/>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Gujarat</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420</w:t>
            </w:r>
          </w:p>
        </w:tc>
      </w:tr>
      <w:tr w:rsidTr="00036A52">
        <w:tblPrEx>
          <w:tblW w:w="0" w:type="auto"/>
          <w:tblLayout w:type="fixed"/>
          <w:tblCellMar>
            <w:left w:w="0" w:type="dxa"/>
            <w:right w:w="0" w:type="dxa"/>
          </w:tblCellMar>
          <w:tblLook w:val="0000"/>
        </w:tblPrEx>
        <w:trPr>
          <w:trHeight w:val="62"/>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4"/>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Meghalaya</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286</w:t>
            </w:r>
          </w:p>
        </w:tc>
      </w:tr>
      <w:tr w:rsidTr="00036A52">
        <w:tblPrEx>
          <w:tblW w:w="0" w:type="auto"/>
          <w:tblLayout w:type="fixed"/>
          <w:tblCellMar>
            <w:left w:w="0" w:type="dxa"/>
            <w:right w:w="0" w:type="dxa"/>
          </w:tblCellMar>
          <w:tblLook w:val="0000"/>
        </w:tblPrEx>
        <w:trPr>
          <w:trHeight w:val="63"/>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3"/>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Chhatisgarh</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50</w:t>
            </w:r>
          </w:p>
        </w:tc>
      </w:tr>
      <w:tr w:rsidTr="00036A52">
        <w:tblPrEx>
          <w:tblW w:w="0" w:type="auto"/>
          <w:tblLayout w:type="fixed"/>
          <w:tblCellMar>
            <w:left w:w="0" w:type="dxa"/>
            <w:right w:w="0" w:type="dxa"/>
          </w:tblCellMar>
          <w:tblLook w:val="0000"/>
        </w:tblPrEx>
        <w:trPr>
          <w:trHeight w:val="63"/>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3"/>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Haryana</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34</w:t>
            </w:r>
          </w:p>
        </w:tc>
      </w:tr>
      <w:tr w:rsidTr="00036A52">
        <w:tblPrEx>
          <w:tblW w:w="0" w:type="auto"/>
          <w:tblLayout w:type="fixed"/>
          <w:tblCellMar>
            <w:left w:w="0" w:type="dxa"/>
            <w:right w:w="0" w:type="dxa"/>
          </w:tblCellMar>
          <w:tblLook w:val="0000"/>
        </w:tblPrEx>
        <w:trPr>
          <w:trHeight w:val="64"/>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2"/>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West Bengal</w:t>
            </w: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869"/>
              <w:jc w:val="center"/>
              <w:rPr>
                <w:rFonts w:ascii="Times New Roman" w:hAnsi="Times New Roman"/>
                <w:sz w:val="24"/>
                <w:szCs w:val="24"/>
              </w:rPr>
            </w:pPr>
            <w:r w:rsidRPr="00E43688">
              <w:rPr>
                <w:rFonts w:ascii="Arial" w:hAnsi="Arial" w:cs="Arial"/>
                <w:color w:val="1F1A17"/>
                <w:w w:val="99"/>
                <w:sz w:val="18"/>
                <w:szCs w:val="18"/>
              </w:rPr>
              <w:t>33</w:t>
            </w:r>
          </w:p>
        </w:tc>
      </w:tr>
      <w:tr w:rsidTr="00036A52">
        <w:tblPrEx>
          <w:tblW w:w="0" w:type="auto"/>
          <w:tblLayout w:type="fixed"/>
          <w:tblCellMar>
            <w:left w:w="0" w:type="dxa"/>
            <w:right w:w="0" w:type="dxa"/>
          </w:tblCellMar>
          <w:tblLook w:val="0000"/>
        </w:tblPrEx>
        <w:trPr>
          <w:trHeight w:val="64"/>
        </w:trPr>
        <w:tc>
          <w:tcPr>
            <w:tcW w:w="20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2"/>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Kerala</w:t>
            </w: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889"/>
              <w:jc w:val="center"/>
              <w:rPr>
                <w:rFonts w:ascii="Times New Roman" w:hAnsi="Times New Roman"/>
                <w:sz w:val="24"/>
                <w:szCs w:val="24"/>
              </w:rPr>
            </w:pPr>
            <w:r w:rsidRPr="00E43688">
              <w:rPr>
                <w:rFonts w:ascii="Arial" w:hAnsi="Arial" w:cs="Arial"/>
                <w:color w:val="1F1A17"/>
                <w:w w:val="99"/>
                <w:sz w:val="18"/>
                <w:szCs w:val="18"/>
              </w:rPr>
              <w:t>4</w:t>
            </w:r>
          </w:p>
        </w:tc>
      </w:tr>
      <w:tr w:rsidTr="00036A52">
        <w:tblPrEx>
          <w:tblW w:w="0" w:type="auto"/>
          <w:tblLayout w:type="fixed"/>
          <w:tblCellMar>
            <w:left w:w="0" w:type="dxa"/>
            <w:right w:w="0" w:type="dxa"/>
          </w:tblCellMar>
          <w:tblLook w:val="0000"/>
        </w:tblPrEx>
        <w:trPr>
          <w:trHeight w:val="65"/>
        </w:trPr>
        <w:tc>
          <w:tcPr>
            <w:tcW w:w="20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bl>
    <w:p w:rsidR="00036A52" w:rsidRPr="00E43688" w:rsidP="00036A52">
      <w:pPr>
        <w:widowControl w:val="0"/>
        <w:autoSpaceDE w:val="0"/>
        <w:autoSpaceDN w:val="0"/>
        <w:adjustRightInd w:val="0"/>
        <w:spacing w:after="0" w:line="295" w:lineRule="exact"/>
        <w:rPr>
          <w:rFonts w:ascii="Times New Roman" w:hAnsi="Times New Roman"/>
          <w:sz w:val="24"/>
          <w:szCs w:val="24"/>
        </w:rPr>
      </w:pPr>
    </w:p>
    <w:p w:rsidR="00036A52" w:rsidRPr="00E43688" w:rsidP="0035258E">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b/>
          <w:bCs/>
          <w:color w:val="E87817"/>
        </w:rPr>
        <w:t>Seramikler ve Hijyenik Ürünler</w:t>
      </w: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sidRPr="00E43688">
        <w:rPr>
          <w:rFonts w:ascii="Arial" w:hAnsi="Arial" w:cs="Arial"/>
          <w:color w:val="1F1A17"/>
        </w:rPr>
        <w:t>Hindistan Seramik Karo ve Vitrifiye Kurulu’na göre, Hint karo endüstrisi, ekonomideki genel yavaşlamaya rağmen her yıl sağlıklı bir %15’</w:t>
      </w:r>
      <w:r w:rsidR="0035258E">
        <w:rPr>
          <w:rFonts w:ascii="Arial" w:hAnsi="Arial" w:cs="Arial"/>
          <w:color w:val="1F1A17"/>
        </w:rPr>
        <w:t>lik büyüme yaşamaya devam etmektedir</w:t>
      </w:r>
      <w:r w:rsidRPr="00E43688">
        <w:rPr>
          <w:rFonts w:ascii="Arial" w:hAnsi="Arial" w:cs="Arial"/>
          <w:color w:val="1F1A17"/>
        </w:rPr>
        <w:t xml:space="preserve">. Son 5 yılda yapılan </w:t>
      </w:r>
      <w:r w:rsidR="0035258E">
        <w:rPr>
          <w:rFonts w:ascii="Arial" w:hAnsi="Arial" w:cs="Arial"/>
          <w:color w:val="1F1A17"/>
        </w:rPr>
        <w:t>yatırımlar ile Rs 5000 crore’un (crore, Hindistan’da 10 milyona karşılık gelen birim)</w:t>
      </w:r>
      <w:r w:rsidRPr="00E43688">
        <w:rPr>
          <w:rFonts w:ascii="Arial" w:hAnsi="Arial" w:cs="Arial"/>
          <w:color w:val="1F1A17"/>
        </w:rPr>
        <w:t xml:space="preserve"> üstünde kazanç elde edilmiştir. Hint seramik karo sektörünün toplam büyüklüğü</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7880350" cy="9446895"/>
            <wp:effectExtent l="0" t="0" r="0" b="0"/>
            <wp:wrapNone/>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80629" name="Picture 200"/>
                    <pic:cNvPicPr>
                      <a:picLocks noChangeAspect="1" noChangeArrowheads="1"/>
                    </pic:cNvPicPr>
                  </pic:nvPicPr>
                  <pic:blipFill>
                    <a:blip xmlns:r="http://schemas.openxmlformats.org/officeDocument/2006/relationships" r:embed="rId2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9" w:lineRule="auto"/>
        <w:jc w:val="both"/>
        <w:rPr>
          <w:rFonts w:ascii="Times New Roman" w:hAnsi="Times New Roman"/>
          <w:sz w:val="24"/>
          <w:szCs w:val="24"/>
        </w:rPr>
      </w:pPr>
      <w:r w:rsidRPr="00E43688">
        <w:rPr>
          <w:rFonts w:ascii="Arial" w:hAnsi="Arial" w:cs="Arial"/>
          <w:color w:val="1F1A17"/>
        </w:rPr>
        <w:t>yaklaşık olarak Rs 18.000 crore</w:t>
      </w:r>
      <w:r w:rsidR="0035258E">
        <w:rPr>
          <w:rFonts w:ascii="Arial" w:hAnsi="Arial" w:cs="Arial"/>
          <w:color w:val="1F1A17"/>
        </w:rPr>
        <w:t>(crore =</w:t>
      </w:r>
      <w:r w:rsidRPr="0035258E" w:rsidR="0035258E">
        <w:rPr>
          <w:rFonts w:ascii="Arial" w:hAnsi="Arial" w:cs="Arial"/>
          <w:color w:val="1F1A17"/>
        </w:rPr>
        <w:t xml:space="preserve">Hindistan’da 10 milyona karşılık gelen birim) </w:t>
      </w:r>
      <w:r w:rsidRPr="00E43688">
        <w:rPr>
          <w:rFonts w:ascii="Arial" w:hAnsi="Arial" w:cs="Arial"/>
          <w:color w:val="1F1A17"/>
        </w:rPr>
        <w:t>(FY12)’dir. 2011-12 döneminde 600 milyon metrekare civarında bir üretim gerçekleşmiştir. Hindistan dünyada karo üretimi bakımından ilk 3 ülke arasında yer alıyor.</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E43688">
        <w:rPr>
          <w:rFonts w:ascii="Arial" w:hAnsi="Arial" w:cs="Arial"/>
          <w:color w:val="1F1A17"/>
        </w:rPr>
        <w:t>Bugünlerde bir ürün segmenti olarak seramik karolar, yılda yaklaşık olarak 680 milyon metrekare üretimle oldukça büyük bir istife dönüşmüştür. Seramik karoların Hindistan’da revaçta olmasındaki temel etkenler; konut sektöründeki patlama ve sektördeki sağlam gelişmeyi besleyen hükümet politikalarıdır.</w:t>
      </w:r>
    </w:p>
    <w:p w:rsidR="00036A52" w:rsidRPr="00E43688" w:rsidP="00036A52">
      <w:pPr>
        <w:widowControl w:val="0"/>
        <w:autoSpaceDE w:val="0"/>
        <w:autoSpaceDN w:val="0"/>
        <w:adjustRightInd w:val="0"/>
        <w:spacing w:after="0" w:line="220"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E43688">
        <w:rPr>
          <w:rFonts w:ascii="Arial" w:hAnsi="Arial" w:cs="Arial"/>
          <w:color w:val="1F1A17"/>
        </w:rPr>
        <w:t>Hindistan ekonomisindeki perakende patlaması da yüksek uç ürünlere olan talebi etkilemiştir. Ana ürün segmentleri duvar karoları, yer karoları, sırlı karo ve endüstriyel karo segmentleridir. Pazar payları (bağlı menkul kıymetler değer düşüklüğü karşılığı) duvar, zemin, sırlı ve endüstriyel karolar için sırasıyla % 20, % 23, % 50 ve % 7’dir. Üretimin geleneksel yöntemleri (tünel) ve yeni tek hızlı pişirim yöntemlerinin her ikisi de üretimde uygulanır. Üretim yöntemlerindeki son akımlardan bazıları Hindistan’da görülebilir.</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92" w:lineRule="auto"/>
        <w:jc w:val="both"/>
        <w:rPr>
          <w:rFonts w:ascii="Times New Roman" w:hAnsi="Times New Roman"/>
          <w:sz w:val="24"/>
          <w:szCs w:val="24"/>
        </w:rPr>
      </w:pPr>
      <w:r>
        <w:rPr>
          <w:rFonts w:ascii="Arial" w:hAnsi="Arial" w:cs="Arial"/>
          <w:color w:val="1F1A17"/>
          <w:sz w:val="21"/>
          <w:szCs w:val="21"/>
        </w:rPr>
        <w:t>Endüstri ayrıca, hammadde bolluğu ile son derece yerli olmanın özgün ayrımından, teknik becerilerden, oldukça sermaye teşviki olmasına rağmen altyapı tesislerinden hoşlanır. Toplamda</w:t>
      </w:r>
      <w:r w:rsidRPr="00E43688">
        <w:rPr>
          <w:rFonts w:ascii="Arial" w:hAnsi="Arial" w:cs="Arial"/>
          <w:color w:val="1F1A17"/>
          <w:sz w:val="21"/>
          <w:szCs w:val="21"/>
        </w:rPr>
        <w:t xml:space="preserve"> 5,50,000</w:t>
      </w:r>
      <w:r>
        <w:rPr>
          <w:rFonts w:ascii="Arial" w:hAnsi="Arial" w:cs="Arial"/>
          <w:color w:val="1F1A17"/>
          <w:sz w:val="21"/>
          <w:szCs w:val="21"/>
        </w:rPr>
        <w:t>’dan fazla kişi bu sektörde istihdam edilmektedir. Hindistan’daki seramik karoların kişi başına tüketimi dikkate alındığında, potansiyel yüksektir</w:t>
      </w:r>
      <w:r w:rsidRPr="00E43688">
        <w:rPr>
          <w:rFonts w:ascii="Arial" w:hAnsi="Arial" w:cs="Arial"/>
          <w:color w:val="1F1A17"/>
          <w:sz w:val="21"/>
          <w:szCs w:val="21"/>
        </w:rPr>
        <w:t xml:space="preserve">. </w:t>
      </w:r>
      <w:r>
        <w:rPr>
          <w:rFonts w:ascii="Arial" w:hAnsi="Arial" w:cs="Arial"/>
          <w:color w:val="1F1A17"/>
          <w:sz w:val="21"/>
          <w:szCs w:val="21"/>
        </w:rPr>
        <w:t>Şu anda bu değer kişi başına</w:t>
      </w:r>
      <w:r w:rsidRPr="00E43688">
        <w:rPr>
          <w:rFonts w:ascii="Arial" w:hAnsi="Arial" w:cs="Arial"/>
          <w:color w:val="1F1A17"/>
          <w:sz w:val="21"/>
          <w:szCs w:val="21"/>
        </w:rPr>
        <w:t xml:space="preserve"> 0.50 </w:t>
      </w:r>
      <w:r>
        <w:rPr>
          <w:rFonts w:ascii="Arial" w:hAnsi="Arial" w:cs="Arial"/>
          <w:color w:val="1F1A17"/>
          <w:sz w:val="21"/>
          <w:szCs w:val="21"/>
        </w:rPr>
        <w:t>metrekare iken, Çin, Brezilya, Malezya gibi ülkelerle kıyaslandığında bu değer 2 metrekarenin üstüne çıkmaktadır.</w:t>
      </w:r>
    </w:p>
    <w:p w:rsidR="00036A52" w:rsidRPr="00E43688" w:rsidP="00036A52">
      <w:pPr>
        <w:widowControl w:val="0"/>
        <w:autoSpaceDE w:val="0"/>
        <w:autoSpaceDN w:val="0"/>
        <w:adjustRightInd w:val="0"/>
        <w:spacing w:after="0" w:line="129"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0A408A"/>
          <w:sz w:val="30"/>
          <w:szCs w:val="30"/>
        </w:rPr>
        <w:t>T</w:t>
      </w:r>
      <w:r>
        <w:rPr>
          <w:rFonts w:ascii="Arial" w:hAnsi="Arial" w:cs="Arial"/>
          <w:color w:val="0A408A"/>
          <w:sz w:val="30"/>
          <w:szCs w:val="30"/>
        </w:rPr>
        <w:t>urizm Sektörü</w:t>
      </w:r>
    </w:p>
    <w:p w:rsidR="00036A52" w:rsidRPr="00E43688" w:rsidP="00036A52">
      <w:pPr>
        <w:widowControl w:val="0"/>
        <w:autoSpaceDE w:val="0"/>
        <w:autoSpaceDN w:val="0"/>
        <w:adjustRightInd w:val="0"/>
        <w:spacing w:after="0" w:line="21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E87817"/>
          <w:sz w:val="26"/>
          <w:szCs w:val="26"/>
        </w:rPr>
        <w:t>T</w:t>
      </w:r>
      <w:r>
        <w:rPr>
          <w:rFonts w:ascii="Arial" w:hAnsi="Arial" w:cs="Arial"/>
          <w:color w:val="E87817"/>
          <w:sz w:val="26"/>
          <w:szCs w:val="26"/>
        </w:rPr>
        <w:t>ürkiye</w:t>
      </w:r>
    </w:p>
    <w:p w:rsidR="00036A52" w:rsidRPr="00E43688" w:rsidP="00036A52">
      <w:pPr>
        <w:widowControl w:val="0"/>
        <w:autoSpaceDE w:val="0"/>
        <w:autoSpaceDN w:val="0"/>
        <w:adjustRightInd w:val="0"/>
        <w:spacing w:after="0" w:line="25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Dünyada en hızlı büyüyen turizm pazarlarından biri ve 2012 yılında dünyada en çok ziyaret edilen 6. tatil durağı olan Türkiye, her yıl 3</w:t>
      </w:r>
      <w:r w:rsidR="0035258E">
        <w:rPr>
          <w:rFonts w:ascii="Arial" w:hAnsi="Arial" w:cs="Arial"/>
          <w:color w:val="1F1A17"/>
        </w:rPr>
        <w:t>0 milyondan fazla turist çekmektedir</w:t>
      </w:r>
      <w:r w:rsidRPr="00E43688">
        <w:rPr>
          <w:rFonts w:ascii="Arial" w:hAnsi="Arial" w:cs="Arial"/>
          <w:color w:val="1F1A17"/>
        </w:rPr>
        <w:t xml:space="preserve">. </w:t>
      </w:r>
      <w:r>
        <w:rPr>
          <w:rFonts w:ascii="Arial" w:hAnsi="Arial" w:cs="Arial"/>
          <w:color w:val="1F1A17"/>
        </w:rPr>
        <w:t>Türk turizm sektörünün enerjik ve sürekli büyümesi, son küresel ekonomik krizin olumsuz etkileriyle engellenmesine sebebiyet vermeyerek ve kullanılmamış muazzam po</w:t>
      </w:r>
      <w:r w:rsidR="00FC4E45">
        <w:rPr>
          <w:rFonts w:ascii="Arial" w:hAnsi="Arial" w:cs="Arial"/>
          <w:color w:val="1F1A17"/>
        </w:rPr>
        <w:t>tansiyelini koruyarak devam etmektedir</w:t>
      </w:r>
      <w:r>
        <w:rPr>
          <w:rFonts w:ascii="Arial" w:hAnsi="Arial" w:cs="Arial"/>
          <w:color w:val="1F1A17"/>
        </w:rPr>
        <w:t>.</w:t>
      </w:r>
    </w:p>
    <w:p w:rsidR="00036A52" w:rsidRPr="00E43688" w:rsidP="00036A52">
      <w:pPr>
        <w:widowControl w:val="0"/>
        <w:autoSpaceDE w:val="0"/>
        <w:autoSpaceDN w:val="0"/>
        <w:adjustRightInd w:val="0"/>
        <w:spacing w:after="0" w:line="220"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Güçlü bir şekilde büyüyen sektör, Ege ve Akdeniz boyunca uzanan uzun kumsalları ve tertemiz koyları ile nefes kesen sahilleri gibi turistik yer çeşitliliği ile zenginleştirilmiştir. Anadolu’nun yüksek girintili güneybatı köşesinde Turkuaz sahili boyunca, yüzlerce yeni lüks otel ve tatil köylerinde inşaat devam etmektedir. Bunlar ülkenin yerini önümüzdeki 5 yıl içinde dünya turizminin büyük liginde sağlamlaştıracaktır</w:t>
      </w:r>
      <w:r w:rsidRPr="00E43688">
        <w:rPr>
          <w:rFonts w:ascii="Arial" w:hAnsi="Arial" w:cs="Arial"/>
          <w:color w:val="1F1A17"/>
        </w:rPr>
        <w:t xml:space="preserve">. </w:t>
      </w:r>
      <w:r>
        <w:rPr>
          <w:rFonts w:ascii="Arial" w:hAnsi="Arial" w:cs="Arial"/>
          <w:color w:val="1F1A17"/>
        </w:rPr>
        <w:t xml:space="preserve">Otel ve tatil yeri inşaatlarının ani artışının yanı sıra, </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4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0464" behindDoc="1" locked="0" layoutInCell="0" allowOverlap="1">
            <wp:simplePos x="0" y="0"/>
            <wp:positionH relativeFrom="page">
              <wp:posOffset>0</wp:posOffset>
            </wp:positionH>
            <wp:positionV relativeFrom="page">
              <wp:posOffset>377190</wp:posOffset>
            </wp:positionV>
            <wp:extent cx="7880350" cy="9897110"/>
            <wp:effectExtent l="0" t="0" r="0" b="0"/>
            <wp:wrapNone/>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63280" name="Picture 201"/>
                    <pic:cNvPicPr>
                      <a:picLocks noChangeAspect="1" noChangeArrowheads="1"/>
                    </pic:cNvPicPr>
                  </pic:nvPicPr>
                  <pic:blipFill>
                    <a:blip xmlns:r="http://schemas.openxmlformats.org/officeDocument/2006/relationships" r:embed="rId2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içme suyu ve kan</w:t>
      </w:r>
      <w:r w:rsidR="0035258E">
        <w:rPr>
          <w:rFonts w:ascii="Arial" w:hAnsi="Arial" w:cs="Arial"/>
          <w:color w:val="1F1A17"/>
        </w:rPr>
        <w:t>alizasyon sistemleri yenilenmektedir</w:t>
      </w:r>
      <w:r>
        <w:rPr>
          <w:rFonts w:ascii="Arial" w:hAnsi="Arial" w:cs="Arial"/>
          <w:color w:val="1F1A17"/>
        </w:rPr>
        <w:t xml:space="preserve"> ve yeni marinalar ve golf sahaları zengin yabancı turistleri; millerce uzunluktaki kirlenmemiş sahiller, muhteşem antik kent kalıntıları, uzun sıcak yazları ve ılıman kışlarıyla karakterize edilmiş kıyı bölge</w:t>
      </w:r>
      <w:r w:rsidR="0035258E">
        <w:rPr>
          <w:rFonts w:ascii="Arial" w:hAnsi="Arial" w:cs="Arial"/>
          <w:color w:val="1F1A17"/>
        </w:rPr>
        <w:t>lerine çekmek için inşa edilmektedir</w:t>
      </w:r>
      <w:r>
        <w:rPr>
          <w:rFonts w:ascii="Arial" w:hAnsi="Arial" w:cs="Arial"/>
          <w:color w:val="1F1A17"/>
        </w:rPr>
        <w:t xml:space="preserve">. Yeni oteller de İstanbul ve diğer büyük şehirlerde Türkiye genelinde kongre ve iş turizmini </w:t>
      </w:r>
      <w:r w:rsidR="0035258E">
        <w:rPr>
          <w:rFonts w:ascii="Arial" w:hAnsi="Arial" w:cs="Arial"/>
          <w:color w:val="1F1A17"/>
        </w:rPr>
        <w:t>teşvik etmek için ortaya çıkmaktadır</w:t>
      </w:r>
      <w:r w:rsidRPr="00E43688">
        <w:rPr>
          <w:rFonts w:ascii="Arial" w:hAnsi="Arial" w:cs="Arial"/>
          <w:color w:val="1F1A17"/>
        </w:rPr>
        <w:t>.</w:t>
      </w:r>
    </w:p>
    <w:p w:rsidR="00036A52" w:rsidP="00036A52">
      <w:pPr>
        <w:widowControl w:val="0"/>
        <w:overflowPunct w:val="0"/>
        <w:autoSpaceDE w:val="0"/>
        <w:autoSpaceDN w:val="0"/>
        <w:adjustRightInd w:val="0"/>
        <w:spacing w:after="0" w:line="276" w:lineRule="auto"/>
        <w:jc w:val="both"/>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 xml:space="preserve">Türkiye İstatistik Kurumu (TÜİK) tarafından yayınlanan bir rapora göre, Türkiye’yi ziyaret eden turist sayısı geçmiş 30 yılda 21,7 kat artmıştır.1979 yılında </w:t>
      </w:r>
      <w:r w:rsidRPr="00E43688">
        <w:rPr>
          <w:rFonts w:ascii="Arial" w:hAnsi="Arial" w:cs="Arial"/>
          <w:color w:val="1F1A17"/>
        </w:rPr>
        <w:t>1.523mil</w:t>
      </w:r>
      <w:r>
        <w:rPr>
          <w:rFonts w:ascii="Arial" w:hAnsi="Arial" w:cs="Arial"/>
          <w:color w:val="1F1A17"/>
        </w:rPr>
        <w:t>yo</w:t>
      </w:r>
      <w:r w:rsidRPr="00E43688">
        <w:rPr>
          <w:rFonts w:ascii="Arial" w:hAnsi="Arial" w:cs="Arial"/>
          <w:color w:val="1F1A17"/>
        </w:rPr>
        <w:t>n</w:t>
      </w:r>
      <w:r>
        <w:rPr>
          <w:rFonts w:ascii="Arial" w:hAnsi="Arial" w:cs="Arial"/>
          <w:color w:val="1F1A17"/>
        </w:rPr>
        <w:t xml:space="preserve">ken rekor bir artışla bu sayı </w:t>
      </w:r>
      <w:r w:rsidRPr="00E43688">
        <w:rPr>
          <w:rFonts w:ascii="Arial" w:hAnsi="Arial" w:cs="Arial"/>
          <w:color w:val="1F1A17"/>
        </w:rPr>
        <w:t xml:space="preserve">28.632 </w:t>
      </w:r>
      <w:r>
        <w:rPr>
          <w:rFonts w:ascii="Arial" w:hAnsi="Arial" w:cs="Arial"/>
          <w:color w:val="1F1A17"/>
        </w:rPr>
        <w:t xml:space="preserve">milyon yabancı uyruklu ve </w:t>
      </w:r>
      <w:r w:rsidRPr="00E43688">
        <w:rPr>
          <w:rFonts w:ascii="Arial" w:hAnsi="Arial" w:cs="Arial"/>
          <w:color w:val="1F1A17"/>
        </w:rPr>
        <w:t xml:space="preserve">4.395 </w:t>
      </w:r>
      <w:r>
        <w:rPr>
          <w:rFonts w:ascii="Arial" w:hAnsi="Arial" w:cs="Arial"/>
          <w:color w:val="1F1A17"/>
        </w:rPr>
        <w:t>milyon sayıda yurtdışında yaşayıp Türkiye’yi ziyaret eden Türkler olmak üzere 33</w:t>
      </w:r>
      <w:r w:rsidRPr="00E43688">
        <w:rPr>
          <w:rFonts w:ascii="Arial" w:hAnsi="Arial" w:cs="Arial"/>
          <w:color w:val="1F1A17"/>
        </w:rPr>
        <w:t xml:space="preserve">.027 </w:t>
      </w:r>
      <w:r>
        <w:rPr>
          <w:rFonts w:ascii="Arial" w:hAnsi="Arial" w:cs="Arial"/>
          <w:color w:val="1F1A17"/>
        </w:rPr>
        <w:t>milyona yükselmiştir. Türkiye’nin turizm kazançları da Kültür ve Turizm Bakanlığı’ndan yapılan bir açıklamaya göre, 1979 yılında 280 milyon dolar gibi düşük bir meblağ iken, rekor bir artışla 2009 yılında 21,2 milyar dolara yükselmiştir.2005 yılında ülke küresel turizmde %2,7 paya sahipken, payı 2008 yılında %3,34’e yükselmiştir. Devlet Planlama Teşkilatı’na göre 2023 yılı itibariyle, Cumhuriyet’in 100. Yılında, Türkiye yılda 60 milyon yabancı turist çekmeyi ve turizmden yılda 60 m</w:t>
      </w:r>
      <w:r w:rsidR="0035258E">
        <w:rPr>
          <w:rFonts w:ascii="Arial" w:hAnsi="Arial" w:cs="Arial"/>
          <w:color w:val="1F1A17"/>
        </w:rPr>
        <w:t>ilyar dolar kazanmayı hedeflemektedir</w:t>
      </w:r>
      <w:r>
        <w:rPr>
          <w:rFonts w:ascii="Arial" w:hAnsi="Arial" w:cs="Arial"/>
          <w:color w:val="1F1A17"/>
        </w:rPr>
        <w:t>.</w:t>
      </w:r>
    </w:p>
    <w:p w:rsidR="00036A52" w:rsidP="00036A52">
      <w:pPr>
        <w:widowControl w:val="0"/>
        <w:autoSpaceDE w:val="0"/>
        <w:autoSpaceDN w:val="0"/>
        <w:adjustRightInd w:val="0"/>
        <w:spacing w:after="0" w:line="240" w:lineRule="auto"/>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Türkiye’ye Yabancı Turist Ziyareti</w:t>
      </w:r>
      <w:r w:rsidRPr="00E43688">
        <w:rPr>
          <w:rFonts w:ascii="Arial" w:hAnsi="Arial" w:cs="Arial"/>
          <w:b/>
          <w:bCs/>
          <w:color w:val="E87817"/>
        </w:rPr>
        <w:t xml:space="preserve"> 2003-2009</w:t>
      </w:r>
    </w:p>
    <w:p w:rsidR="00036A52" w:rsidRPr="00E43688" w:rsidP="00036A52">
      <w:pPr>
        <w:widowControl w:val="0"/>
        <w:autoSpaceDE w:val="0"/>
        <w:autoSpaceDN w:val="0"/>
        <w:adjustRightInd w:val="0"/>
        <w:spacing w:after="0" w:line="233" w:lineRule="exact"/>
        <w:rPr>
          <w:rFonts w:ascii="Times New Roman" w:hAnsi="Times New Roman"/>
          <w:sz w:val="24"/>
          <w:szCs w:val="24"/>
        </w:rPr>
      </w:pPr>
    </w:p>
    <w:tbl>
      <w:tblPr>
        <w:tblW w:w="0" w:type="auto"/>
        <w:tblLayout w:type="fixed"/>
        <w:tblCellMar>
          <w:left w:w="0" w:type="dxa"/>
          <w:right w:w="0" w:type="dxa"/>
        </w:tblCellMar>
        <w:tblLook w:val="0000"/>
      </w:tblPr>
      <w:tblGrid>
        <w:gridCol w:w="1580"/>
        <w:gridCol w:w="3120"/>
        <w:gridCol w:w="3220"/>
      </w:tblGrid>
      <w:tr w:rsidTr="00036A52">
        <w:tblPrEx>
          <w:tblW w:w="0" w:type="auto"/>
          <w:tblLayout w:type="fixed"/>
          <w:tblCellMar>
            <w:left w:w="0" w:type="dxa"/>
            <w:right w:w="0" w:type="dxa"/>
          </w:tblCellMar>
          <w:tblLook w:val="0000"/>
        </w:tblPrEx>
        <w:trPr>
          <w:trHeight w:val="284"/>
        </w:trPr>
        <w:tc>
          <w:tcPr>
            <w:tcW w:w="158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b/>
                <w:bCs/>
                <w:color w:val="FFFFFF"/>
                <w:sz w:val="20"/>
                <w:szCs w:val="20"/>
              </w:rPr>
              <w:t>Y</w:t>
            </w:r>
            <w:r>
              <w:rPr>
                <w:rFonts w:ascii="Arial" w:hAnsi="Arial" w:cs="Arial"/>
                <w:b/>
                <w:bCs/>
                <w:color w:val="FFFFFF"/>
                <w:sz w:val="20"/>
                <w:szCs w:val="20"/>
              </w:rPr>
              <w:t>ıl</w:t>
            </w:r>
          </w:p>
        </w:tc>
        <w:tc>
          <w:tcPr>
            <w:tcW w:w="312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020"/>
              <w:rPr>
                <w:rFonts w:ascii="Times New Roman" w:hAnsi="Times New Roman"/>
                <w:sz w:val="24"/>
                <w:szCs w:val="24"/>
              </w:rPr>
            </w:pPr>
            <w:r w:rsidRPr="00E43688">
              <w:rPr>
                <w:rFonts w:ascii="Arial" w:hAnsi="Arial" w:cs="Arial"/>
                <w:b/>
                <w:bCs/>
                <w:color w:val="FFFFFF"/>
                <w:sz w:val="20"/>
                <w:szCs w:val="20"/>
              </w:rPr>
              <w:t>T</w:t>
            </w:r>
            <w:r>
              <w:rPr>
                <w:rFonts w:ascii="Arial" w:hAnsi="Arial" w:cs="Arial"/>
                <w:b/>
                <w:bCs/>
                <w:color w:val="FFFFFF"/>
                <w:sz w:val="20"/>
                <w:szCs w:val="20"/>
              </w:rPr>
              <w:t>uristler</w:t>
            </w:r>
            <w:r w:rsidRPr="00E43688">
              <w:rPr>
                <w:rFonts w:ascii="Arial" w:hAnsi="Arial" w:cs="Arial"/>
                <w:b/>
                <w:bCs/>
                <w:color w:val="FFFFFF"/>
                <w:sz w:val="20"/>
                <w:szCs w:val="20"/>
              </w:rPr>
              <w:t xml:space="preserve"> (mil</w:t>
            </w:r>
            <w:r>
              <w:rPr>
                <w:rFonts w:ascii="Arial" w:hAnsi="Arial" w:cs="Arial"/>
                <w:b/>
                <w:bCs/>
                <w:color w:val="FFFFFF"/>
                <w:sz w:val="20"/>
                <w:szCs w:val="20"/>
              </w:rPr>
              <w:t>yon</w:t>
            </w:r>
            <w:r w:rsidRPr="00E43688">
              <w:rPr>
                <w:rFonts w:ascii="Arial" w:hAnsi="Arial" w:cs="Arial"/>
                <w:b/>
                <w:bCs/>
                <w:color w:val="FFFFFF"/>
                <w:sz w:val="20"/>
                <w:szCs w:val="20"/>
              </w:rPr>
              <w:t>)</w:t>
            </w:r>
          </w:p>
        </w:tc>
        <w:tc>
          <w:tcPr>
            <w:tcW w:w="322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color w:val="FFFFFF"/>
                <w:sz w:val="20"/>
                <w:szCs w:val="20"/>
              </w:rPr>
              <w:t>Kazanç</w:t>
            </w:r>
            <w:r w:rsidRPr="00E43688">
              <w:rPr>
                <w:rFonts w:ascii="Arial" w:hAnsi="Arial" w:cs="Arial"/>
                <w:b/>
                <w:bCs/>
                <w:color w:val="FFFFFF"/>
                <w:sz w:val="20"/>
                <w:szCs w:val="20"/>
              </w:rPr>
              <w:t>(</w:t>
            </w:r>
            <w:r>
              <w:rPr>
                <w:rFonts w:ascii="Arial" w:hAnsi="Arial" w:cs="Arial"/>
                <w:b/>
                <w:bCs/>
                <w:color w:val="FFFFFF"/>
                <w:sz w:val="20"/>
                <w:szCs w:val="20"/>
              </w:rPr>
              <w:t xml:space="preserve">milyar </w:t>
            </w:r>
            <w:r w:rsidRPr="00E43688">
              <w:rPr>
                <w:rFonts w:ascii="Arial" w:hAnsi="Arial" w:cs="Arial"/>
                <w:b/>
                <w:bCs/>
                <w:color w:val="FFFFFF"/>
                <w:sz w:val="20"/>
                <w:szCs w:val="20"/>
              </w:rPr>
              <w:t>dol</w:t>
            </w:r>
            <w:r>
              <w:rPr>
                <w:rFonts w:ascii="Arial" w:hAnsi="Arial" w:cs="Arial"/>
                <w:b/>
                <w:bCs/>
                <w:color w:val="FFFFFF"/>
                <w:sz w:val="20"/>
                <w:szCs w:val="20"/>
              </w:rPr>
              <w:t>ar</w:t>
            </w:r>
            <w:r w:rsidRPr="00E43688">
              <w:rPr>
                <w:rFonts w:ascii="Arial" w:hAnsi="Arial" w:cs="Arial"/>
                <w:b/>
                <w:bCs/>
                <w:color w:val="FFFFFF"/>
                <w:sz w:val="20"/>
                <w:szCs w:val="20"/>
              </w:rPr>
              <w:t>)</w:t>
            </w:r>
          </w:p>
        </w:tc>
      </w:tr>
      <w:tr w:rsidTr="00036A52">
        <w:tblPrEx>
          <w:tblW w:w="0" w:type="auto"/>
          <w:tblLayout w:type="fixed"/>
          <w:tblCellMar>
            <w:left w:w="0" w:type="dxa"/>
            <w:right w:w="0" w:type="dxa"/>
          </w:tblCellMar>
          <w:tblLook w:val="0000"/>
        </w:tblPrEx>
        <w:trPr>
          <w:trHeight w:val="236"/>
        </w:trPr>
        <w:tc>
          <w:tcPr>
            <w:tcW w:w="1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2004</w:t>
            </w:r>
          </w:p>
        </w:tc>
        <w:tc>
          <w:tcPr>
            <w:tcW w:w="3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85"/>
                <w:sz w:val="18"/>
                <w:szCs w:val="18"/>
              </w:rPr>
              <w:t>17.6</w:t>
            </w:r>
          </w:p>
        </w:tc>
        <w:tc>
          <w:tcPr>
            <w:tcW w:w="3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49"/>
              <w:jc w:val="center"/>
              <w:rPr>
                <w:rFonts w:ascii="Times New Roman" w:hAnsi="Times New Roman"/>
                <w:sz w:val="24"/>
                <w:szCs w:val="24"/>
              </w:rPr>
            </w:pPr>
            <w:r w:rsidRPr="00E43688">
              <w:rPr>
                <w:rFonts w:ascii="Arial" w:hAnsi="Arial" w:cs="Arial"/>
                <w:color w:val="1F1A17"/>
                <w:w w:val="96"/>
                <w:sz w:val="18"/>
                <w:szCs w:val="18"/>
              </w:rPr>
              <w:t>15.9</w:t>
            </w:r>
          </w:p>
        </w:tc>
      </w:tr>
      <w:tr w:rsidTr="00036A52">
        <w:tblPrEx>
          <w:tblW w:w="0" w:type="auto"/>
          <w:tblLayout w:type="fixed"/>
          <w:tblCellMar>
            <w:left w:w="0" w:type="dxa"/>
            <w:right w:w="0" w:type="dxa"/>
          </w:tblCellMar>
          <w:tblLook w:val="0000"/>
        </w:tblPrEx>
        <w:trPr>
          <w:trHeight w:val="67"/>
        </w:trPr>
        <w:tc>
          <w:tcPr>
            <w:tcW w:w="1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43"/>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2005</w:t>
            </w: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96"/>
                <w:sz w:val="18"/>
                <w:szCs w:val="18"/>
              </w:rPr>
              <w:t>21.1</w:t>
            </w: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49"/>
              <w:jc w:val="center"/>
              <w:rPr>
                <w:rFonts w:ascii="Times New Roman" w:hAnsi="Times New Roman"/>
                <w:sz w:val="24"/>
                <w:szCs w:val="24"/>
              </w:rPr>
            </w:pPr>
            <w:r w:rsidRPr="00E43688">
              <w:rPr>
                <w:rFonts w:ascii="Arial" w:hAnsi="Arial" w:cs="Arial"/>
                <w:color w:val="1F1A17"/>
                <w:w w:val="96"/>
                <w:sz w:val="18"/>
                <w:szCs w:val="18"/>
              </w:rPr>
              <w:t>18.2</w:t>
            </w:r>
          </w:p>
        </w:tc>
      </w:tr>
      <w:tr w:rsidTr="00036A52">
        <w:tblPrEx>
          <w:tblW w:w="0" w:type="auto"/>
          <w:tblLayout w:type="fixed"/>
          <w:tblCellMar>
            <w:left w:w="0" w:type="dxa"/>
            <w:right w:w="0" w:type="dxa"/>
          </w:tblCellMar>
          <w:tblLook w:val="0000"/>
        </w:tblPrEx>
        <w:trPr>
          <w:trHeight w:val="61"/>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84"/>
        </w:trPr>
        <w:tc>
          <w:tcPr>
            <w:tcW w:w="15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2006</w:t>
            </w:r>
          </w:p>
        </w:tc>
        <w:tc>
          <w:tcPr>
            <w:tcW w:w="31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96"/>
                <w:sz w:val="18"/>
                <w:szCs w:val="18"/>
              </w:rPr>
              <w:t>19.8</w:t>
            </w:r>
          </w:p>
        </w:tc>
        <w:tc>
          <w:tcPr>
            <w:tcW w:w="32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49"/>
              <w:jc w:val="center"/>
              <w:rPr>
                <w:rFonts w:ascii="Times New Roman" w:hAnsi="Times New Roman"/>
                <w:sz w:val="24"/>
                <w:szCs w:val="24"/>
              </w:rPr>
            </w:pPr>
            <w:r w:rsidRPr="00E43688">
              <w:rPr>
                <w:rFonts w:ascii="Arial" w:hAnsi="Arial" w:cs="Arial"/>
                <w:color w:val="1F1A17"/>
                <w:w w:val="96"/>
                <w:sz w:val="18"/>
                <w:szCs w:val="18"/>
              </w:rPr>
              <w:t>16.9</w:t>
            </w:r>
          </w:p>
        </w:tc>
      </w:tr>
      <w:tr w:rsidTr="00036A52">
        <w:tblPrEx>
          <w:tblW w:w="0" w:type="auto"/>
          <w:tblLayout w:type="fixed"/>
          <w:tblCellMar>
            <w:left w:w="0" w:type="dxa"/>
            <w:right w:w="0" w:type="dxa"/>
          </w:tblCellMar>
          <w:tblLook w:val="0000"/>
        </w:tblPrEx>
        <w:trPr>
          <w:trHeight w:val="255"/>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2007</w:t>
            </w: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96"/>
                <w:sz w:val="18"/>
                <w:szCs w:val="18"/>
              </w:rPr>
              <w:t>23.3</w:t>
            </w: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49"/>
              <w:jc w:val="center"/>
              <w:rPr>
                <w:rFonts w:ascii="Times New Roman" w:hAnsi="Times New Roman"/>
                <w:sz w:val="24"/>
                <w:szCs w:val="24"/>
              </w:rPr>
            </w:pPr>
            <w:r w:rsidRPr="00E43688">
              <w:rPr>
                <w:rFonts w:ascii="Arial" w:hAnsi="Arial" w:cs="Arial"/>
                <w:color w:val="1F1A17"/>
                <w:w w:val="96"/>
                <w:sz w:val="18"/>
                <w:szCs w:val="18"/>
              </w:rPr>
              <w:t>18.5</w:t>
            </w:r>
          </w:p>
        </w:tc>
      </w:tr>
      <w:tr w:rsidTr="00036A52">
        <w:tblPrEx>
          <w:tblW w:w="0" w:type="auto"/>
          <w:tblLayout w:type="fixed"/>
          <w:tblCellMar>
            <w:left w:w="0" w:type="dxa"/>
            <w:right w:w="0" w:type="dxa"/>
          </w:tblCellMar>
          <w:tblLook w:val="0000"/>
        </w:tblPrEx>
        <w:trPr>
          <w:trHeight w:val="49"/>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r>
      <w:tr w:rsidTr="00036A52">
        <w:tblPrEx>
          <w:tblW w:w="0" w:type="auto"/>
          <w:tblLayout w:type="fixed"/>
          <w:tblCellMar>
            <w:left w:w="0" w:type="dxa"/>
            <w:right w:w="0" w:type="dxa"/>
          </w:tblCellMar>
          <w:tblLook w:val="0000"/>
        </w:tblPrEx>
        <w:trPr>
          <w:trHeight w:val="284"/>
        </w:trPr>
        <w:tc>
          <w:tcPr>
            <w:tcW w:w="15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2008</w:t>
            </w:r>
          </w:p>
        </w:tc>
        <w:tc>
          <w:tcPr>
            <w:tcW w:w="31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96"/>
                <w:sz w:val="18"/>
                <w:szCs w:val="18"/>
              </w:rPr>
              <w:t>26.3</w:t>
            </w:r>
          </w:p>
        </w:tc>
        <w:tc>
          <w:tcPr>
            <w:tcW w:w="322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69"/>
              <w:jc w:val="center"/>
              <w:rPr>
                <w:rFonts w:ascii="Times New Roman" w:hAnsi="Times New Roman"/>
                <w:sz w:val="24"/>
                <w:szCs w:val="24"/>
              </w:rPr>
            </w:pPr>
            <w:r w:rsidRPr="00E43688">
              <w:rPr>
                <w:rFonts w:ascii="Arial" w:hAnsi="Arial" w:cs="Arial"/>
                <w:color w:val="1F1A17"/>
                <w:w w:val="91"/>
                <w:sz w:val="18"/>
                <w:szCs w:val="18"/>
              </w:rPr>
              <w:t>21.9</w:t>
            </w:r>
          </w:p>
        </w:tc>
      </w:tr>
      <w:tr w:rsidTr="00036A52">
        <w:tblPrEx>
          <w:tblW w:w="0" w:type="auto"/>
          <w:tblLayout w:type="fixed"/>
          <w:tblCellMar>
            <w:left w:w="0" w:type="dxa"/>
            <w:right w:w="0" w:type="dxa"/>
          </w:tblCellMar>
          <w:tblLook w:val="0000"/>
        </w:tblPrEx>
        <w:trPr>
          <w:trHeight w:val="267"/>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2009</w:t>
            </w: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85"/>
                <w:sz w:val="18"/>
                <w:szCs w:val="18"/>
              </w:rPr>
              <w:t>27.0</w:t>
            </w: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69"/>
              <w:jc w:val="center"/>
              <w:rPr>
                <w:rFonts w:ascii="Times New Roman" w:hAnsi="Times New Roman"/>
                <w:sz w:val="24"/>
                <w:szCs w:val="24"/>
              </w:rPr>
            </w:pPr>
            <w:r w:rsidRPr="00E43688">
              <w:rPr>
                <w:rFonts w:ascii="Arial" w:hAnsi="Arial" w:cs="Arial"/>
                <w:color w:val="1F1A17"/>
                <w:w w:val="91"/>
                <w:sz w:val="18"/>
                <w:szCs w:val="18"/>
              </w:rPr>
              <w:t>21.2</w:t>
            </w:r>
          </w:p>
        </w:tc>
      </w:tr>
      <w:tr w:rsidTr="00036A52">
        <w:tblPrEx>
          <w:tblW w:w="0" w:type="auto"/>
          <w:tblLayout w:type="fixed"/>
          <w:tblCellMar>
            <w:left w:w="0" w:type="dxa"/>
            <w:right w:w="0" w:type="dxa"/>
          </w:tblCellMar>
          <w:tblLook w:val="0000"/>
        </w:tblPrEx>
        <w:trPr>
          <w:trHeight w:val="36"/>
        </w:trPr>
        <w:tc>
          <w:tcPr>
            <w:tcW w:w="1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3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3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r>
      <w:tr w:rsidTr="00036A52">
        <w:tblPrEx>
          <w:tblW w:w="0" w:type="auto"/>
          <w:tblLayout w:type="fixed"/>
          <w:tblCellMar>
            <w:left w:w="0" w:type="dxa"/>
            <w:right w:w="0" w:type="dxa"/>
          </w:tblCellMar>
          <w:tblLook w:val="0000"/>
        </w:tblPrEx>
        <w:trPr>
          <w:trHeight w:val="274"/>
        </w:trPr>
        <w:tc>
          <w:tcPr>
            <w:tcW w:w="1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40"/>
              <w:rPr>
                <w:rFonts w:ascii="Times New Roman" w:hAnsi="Times New Roman"/>
                <w:sz w:val="24"/>
                <w:szCs w:val="24"/>
              </w:rPr>
            </w:pPr>
            <w:r w:rsidRPr="00E43688">
              <w:rPr>
                <w:rFonts w:ascii="Arial" w:hAnsi="Arial" w:cs="Arial"/>
                <w:color w:val="1F1A17"/>
                <w:sz w:val="18"/>
                <w:szCs w:val="18"/>
              </w:rPr>
              <w:t>2010</w:t>
            </w:r>
          </w:p>
        </w:tc>
        <w:tc>
          <w:tcPr>
            <w:tcW w:w="3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409"/>
              <w:jc w:val="center"/>
              <w:rPr>
                <w:rFonts w:ascii="Times New Roman" w:hAnsi="Times New Roman"/>
                <w:sz w:val="24"/>
                <w:szCs w:val="24"/>
              </w:rPr>
            </w:pPr>
            <w:r w:rsidRPr="00E43688">
              <w:rPr>
                <w:rFonts w:ascii="Arial" w:hAnsi="Arial" w:cs="Arial"/>
                <w:color w:val="1F1A17"/>
                <w:w w:val="96"/>
                <w:sz w:val="18"/>
                <w:szCs w:val="18"/>
              </w:rPr>
              <w:t>28.6</w:t>
            </w:r>
          </w:p>
        </w:tc>
        <w:tc>
          <w:tcPr>
            <w:tcW w:w="3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49"/>
              <w:jc w:val="center"/>
              <w:rPr>
                <w:rFonts w:ascii="Times New Roman" w:hAnsi="Times New Roman"/>
                <w:sz w:val="24"/>
                <w:szCs w:val="24"/>
              </w:rPr>
            </w:pPr>
            <w:r w:rsidRPr="00E43688">
              <w:rPr>
                <w:rFonts w:ascii="Arial" w:hAnsi="Arial" w:cs="Arial"/>
                <w:color w:val="1F1A17"/>
                <w:w w:val="96"/>
                <w:sz w:val="18"/>
                <w:szCs w:val="18"/>
              </w:rPr>
              <w:t>20.8</w:t>
            </w:r>
          </w:p>
        </w:tc>
      </w:tr>
      <w:tr w:rsidTr="00036A52">
        <w:tblPrEx>
          <w:tblW w:w="0" w:type="auto"/>
          <w:tblLayout w:type="fixed"/>
          <w:tblCellMar>
            <w:left w:w="0" w:type="dxa"/>
            <w:right w:w="0" w:type="dxa"/>
          </w:tblCellMar>
          <w:tblLook w:val="0000"/>
        </w:tblPrEx>
        <w:trPr>
          <w:trHeight w:val="30"/>
        </w:trPr>
        <w:tc>
          <w:tcPr>
            <w:tcW w:w="1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3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3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bl>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P="00036A52">
      <w:pPr>
        <w:widowControl w:val="0"/>
        <w:overflowPunct w:val="0"/>
        <w:autoSpaceDE w:val="0"/>
        <w:autoSpaceDN w:val="0"/>
        <w:adjustRightInd w:val="0"/>
        <w:spacing w:after="0" w:line="277" w:lineRule="auto"/>
        <w:jc w:val="both"/>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2013 yılında, Dünya Ekonomik Forumu tarafından hazırlanan Seyahat ve Turizm Rekabet Endeksi’nde, Türkiye 6 üzerinden 4.44 puan almıştır. Seyahat ve Turizm Rekabet Endeksi, bir ülkede seyahat ve turizm endüstrisinin yatırım cazibesini ölçer. Türkiye 2011-2013 yılları arasında hem hava taşımacılığı hem de turizm altyapısını geliştirmiştir</w:t>
      </w:r>
      <w:r w:rsidRPr="00E43688">
        <w:rPr>
          <w:rFonts w:ascii="Arial" w:hAnsi="Arial" w:cs="Arial"/>
          <w:color w:val="1F1A17"/>
        </w:rPr>
        <w:t>.</w:t>
      </w:r>
      <w:r>
        <w:rPr>
          <w:rFonts w:ascii="Arial" w:hAnsi="Arial" w:cs="Arial"/>
          <w:color w:val="1F1A17"/>
        </w:rPr>
        <w:t>2003-2013 yılları arasında 9 havaalanı inşa edilerek toplam havaalanı sayısı 50’nin üstüne yükselmiştir.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7880350" cy="9446895"/>
            <wp:effectExtent l="0" t="0" r="0" b="0"/>
            <wp:wrapNone/>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18625" name="Picture 202"/>
                    <pic:cNvPicPr>
                      <a:picLocks noChangeAspect="1" noChangeArrowheads="1"/>
                    </pic:cNvPicPr>
                  </pic:nvPicPr>
                  <pic:blipFill>
                    <a:blip xmlns:r="http://schemas.openxmlformats.org/officeDocument/2006/relationships" r:embed="rId3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3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sz w:val="21"/>
          <w:szCs w:val="21"/>
        </w:rPr>
        <w:t>Seyahat ve Turizm Rekabet Endeksi</w:t>
      </w:r>
      <w:r w:rsidRPr="00E43688">
        <w:rPr>
          <w:rFonts w:ascii="Arial" w:hAnsi="Arial" w:cs="Arial"/>
          <w:b/>
          <w:bCs/>
          <w:color w:val="E87817"/>
          <w:sz w:val="21"/>
          <w:szCs w:val="21"/>
        </w:rPr>
        <w:t>, 2013</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4140" w:bottom="320" w:left="3380" w:header="708" w:footer="708" w:gutter="0"/>
          <w:cols w:space="708" w:equalWidth="0">
            <w:col w:w="49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1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3460"/>
        <w:rPr>
          <w:rFonts w:ascii="Times New Roman" w:hAnsi="Times New Roman"/>
          <w:sz w:val="24"/>
          <w:szCs w:val="24"/>
        </w:rPr>
      </w:pPr>
      <w:r w:rsidRPr="00E43688">
        <w:rPr>
          <w:rFonts w:ascii="Arial" w:hAnsi="Arial" w:cs="Arial"/>
          <w:color w:val="1F1A17"/>
          <w:sz w:val="18"/>
          <w:szCs w:val="18"/>
        </w:rPr>
        <w:t>Fran</w:t>
      </w:r>
      <w:r>
        <w:rPr>
          <w:rFonts w:ascii="Arial" w:hAnsi="Arial" w:cs="Arial"/>
          <w:color w:val="1F1A17"/>
          <w:sz w:val="18"/>
          <w:szCs w:val="18"/>
        </w:rPr>
        <w:t>sa</w:t>
      </w:r>
    </w:p>
    <w:p w:rsidR="00036A52" w:rsidRPr="00E43688" w:rsidP="00036A52">
      <w:pPr>
        <w:widowControl w:val="0"/>
        <w:autoSpaceDE w:val="0"/>
        <w:autoSpaceDN w:val="0"/>
        <w:adjustRightInd w:val="0"/>
        <w:spacing w:after="0" w:line="8" w:lineRule="exact"/>
        <w:rPr>
          <w:rFonts w:ascii="Times New Roman" w:hAnsi="Times New Roman"/>
          <w:sz w:val="24"/>
          <w:szCs w:val="24"/>
        </w:rPr>
      </w:pPr>
    </w:p>
    <w:tbl>
      <w:tblPr>
        <w:tblW w:w="0" w:type="auto"/>
        <w:tblInd w:w="1140" w:type="dxa"/>
        <w:tblLayout w:type="fixed"/>
        <w:tblCellMar>
          <w:left w:w="0" w:type="dxa"/>
          <w:right w:w="0" w:type="dxa"/>
        </w:tblCellMar>
        <w:tblLook w:val="0000"/>
      </w:tblPr>
      <w:tblGrid>
        <w:gridCol w:w="1780"/>
        <w:gridCol w:w="1300"/>
        <w:gridCol w:w="1880"/>
      </w:tblGrid>
      <w:tr w:rsidTr="00036A52">
        <w:tblPrEx>
          <w:tblW w:w="0" w:type="auto"/>
          <w:tblInd w:w="1140" w:type="dxa"/>
          <w:tblLayout w:type="fixed"/>
          <w:tblCellMar>
            <w:left w:w="0" w:type="dxa"/>
            <w:right w:w="0" w:type="dxa"/>
          </w:tblCellMar>
          <w:tblLook w:val="0000"/>
        </w:tblPrEx>
        <w:trPr>
          <w:trHeight w:val="215"/>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6</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r>
      <w:tr w:rsidTr="00036A52">
        <w:tblPrEx>
          <w:tblW w:w="0" w:type="auto"/>
          <w:tblInd w:w="1140" w:type="dxa"/>
          <w:tblLayout w:type="fixed"/>
          <w:tblCellMar>
            <w:left w:w="0" w:type="dxa"/>
            <w:right w:w="0" w:type="dxa"/>
          </w:tblCellMar>
          <w:tblLook w:val="0000"/>
        </w:tblPrEx>
        <w:trPr>
          <w:trHeight w:val="282"/>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60"/>
              <w:rPr>
                <w:rFonts w:ascii="Times New Roman" w:hAnsi="Times New Roman"/>
                <w:sz w:val="24"/>
                <w:szCs w:val="24"/>
              </w:rPr>
            </w:pPr>
            <w:r w:rsidRPr="00E43688">
              <w:rPr>
                <w:rFonts w:ascii="Arial" w:hAnsi="Arial" w:cs="Arial"/>
                <w:color w:val="1F1A17"/>
                <w:sz w:val="18"/>
                <w:szCs w:val="18"/>
              </w:rPr>
              <w:t>Bulgari</w:t>
            </w:r>
            <w:r>
              <w:rPr>
                <w:rFonts w:ascii="Arial" w:hAnsi="Arial" w:cs="Arial"/>
                <w:color w:val="1F1A17"/>
                <w:sz w:val="18"/>
                <w:szCs w:val="18"/>
              </w:rPr>
              <w:t>stan</w:t>
            </w: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5.5</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Pr>
                <w:rFonts w:ascii="Arial" w:hAnsi="Arial" w:cs="Arial"/>
                <w:color w:val="1F1A17"/>
                <w:sz w:val="18"/>
                <w:szCs w:val="18"/>
              </w:rPr>
              <w:t>İspanya</w:t>
            </w:r>
          </w:p>
        </w:tc>
      </w:tr>
      <w:tr w:rsidTr="00036A52">
        <w:tblPrEx>
          <w:tblW w:w="0" w:type="auto"/>
          <w:tblInd w:w="1140" w:type="dxa"/>
          <w:tblLayout w:type="fixed"/>
          <w:tblCellMar>
            <w:left w:w="0" w:type="dxa"/>
            <w:right w:w="0" w:type="dxa"/>
          </w:tblCellMar>
          <w:tblLook w:val="0000"/>
        </w:tblPrEx>
        <w:trPr>
          <w:trHeight w:val="286"/>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5</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1140" w:type="dxa"/>
          <w:tblLayout w:type="fixed"/>
          <w:tblCellMar>
            <w:left w:w="0" w:type="dxa"/>
            <w:right w:w="0" w:type="dxa"/>
          </w:tblCellMar>
          <w:tblLook w:val="0000"/>
        </w:tblPrEx>
        <w:trPr>
          <w:trHeight w:val="304"/>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4.5</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1140" w:type="dxa"/>
          <w:tblLayout w:type="fixed"/>
          <w:tblCellMar>
            <w:left w:w="0" w:type="dxa"/>
            <w:right w:w="0" w:type="dxa"/>
          </w:tblCellMar>
          <w:tblLook w:val="0000"/>
        </w:tblPrEx>
        <w:trPr>
          <w:trHeight w:val="331"/>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8"/>
                <w:szCs w:val="18"/>
              </w:rPr>
              <w:t>Roman</w:t>
            </w:r>
            <w:r>
              <w:rPr>
                <w:rFonts w:ascii="Arial" w:hAnsi="Arial" w:cs="Arial"/>
                <w:color w:val="1F1A17"/>
                <w:sz w:val="18"/>
                <w:szCs w:val="18"/>
              </w:rPr>
              <w:t>ya</w:t>
            </w: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4</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360"/>
              <w:rPr>
                <w:rFonts w:ascii="Times New Roman" w:hAnsi="Times New Roman"/>
                <w:sz w:val="24"/>
                <w:szCs w:val="24"/>
              </w:rPr>
            </w:pPr>
            <w:r>
              <w:rPr>
                <w:rFonts w:ascii="Arial" w:hAnsi="Arial" w:cs="Arial"/>
                <w:color w:val="1F1A17"/>
                <w:sz w:val="18"/>
                <w:szCs w:val="18"/>
              </w:rPr>
              <w:t>İtalya</w:t>
            </w:r>
          </w:p>
        </w:tc>
      </w:tr>
      <w:tr w:rsidTr="00036A52">
        <w:tblPrEx>
          <w:tblW w:w="0" w:type="auto"/>
          <w:tblInd w:w="1140" w:type="dxa"/>
          <w:tblLayout w:type="fixed"/>
          <w:tblCellMar>
            <w:left w:w="0" w:type="dxa"/>
            <w:right w:w="0" w:type="dxa"/>
          </w:tblCellMar>
          <w:tblLook w:val="0000"/>
        </w:tblPrEx>
        <w:trPr>
          <w:trHeight w:val="278"/>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3.5</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1140" w:type="dxa"/>
          <w:tblLayout w:type="fixed"/>
          <w:tblCellMar>
            <w:left w:w="0" w:type="dxa"/>
            <w:right w:w="0" w:type="dxa"/>
          </w:tblCellMar>
          <w:tblLook w:val="0000"/>
        </w:tblPrEx>
        <w:trPr>
          <w:trHeight w:val="317"/>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10"/>
              <w:jc w:val="right"/>
              <w:rPr>
                <w:rFonts w:ascii="Times New Roman" w:hAnsi="Times New Roman"/>
                <w:sz w:val="24"/>
                <w:szCs w:val="24"/>
              </w:rPr>
            </w:pPr>
            <w:r w:rsidRPr="00E43688">
              <w:rPr>
                <w:rFonts w:ascii="Arial" w:hAnsi="Arial" w:cs="Arial"/>
                <w:color w:val="1F1A17"/>
                <w:sz w:val="18"/>
                <w:szCs w:val="18"/>
              </w:rPr>
              <w:t>3</w:t>
            </w: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1140" w:type="dxa"/>
          <w:tblLayout w:type="fixed"/>
          <w:tblCellMar>
            <w:left w:w="0" w:type="dxa"/>
            <w:right w:w="0" w:type="dxa"/>
          </w:tblCellMar>
          <w:tblLook w:val="0000"/>
        </w:tblPrEx>
        <w:trPr>
          <w:trHeight w:val="586"/>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20"/>
              <w:rPr>
                <w:rFonts w:ascii="Times New Roman" w:hAnsi="Times New Roman"/>
                <w:sz w:val="24"/>
                <w:szCs w:val="24"/>
              </w:rPr>
            </w:pPr>
            <w:r w:rsidRPr="00E43688">
              <w:rPr>
                <w:rFonts w:ascii="Arial" w:hAnsi="Arial" w:cs="Arial"/>
                <w:color w:val="1F1A17"/>
                <w:sz w:val="18"/>
                <w:szCs w:val="18"/>
              </w:rPr>
              <w:t>Rus</w:t>
            </w:r>
            <w:r>
              <w:rPr>
                <w:rFonts w:ascii="Arial" w:hAnsi="Arial" w:cs="Arial"/>
                <w:color w:val="1F1A17"/>
                <w:sz w:val="18"/>
                <w:szCs w:val="18"/>
              </w:rPr>
              <w:t>ya</w:t>
            </w: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360"/>
              <w:rPr>
                <w:rFonts w:ascii="Times New Roman" w:hAnsi="Times New Roman"/>
                <w:sz w:val="24"/>
                <w:szCs w:val="24"/>
              </w:rPr>
            </w:pPr>
            <w:r w:rsidRPr="00E43688">
              <w:rPr>
                <w:rFonts w:ascii="Arial" w:hAnsi="Arial" w:cs="Arial"/>
                <w:color w:val="1F1A17"/>
                <w:w w:val="90"/>
                <w:sz w:val="18"/>
                <w:szCs w:val="18"/>
              </w:rPr>
              <w:t>T</w:t>
            </w:r>
            <w:r>
              <w:rPr>
                <w:rFonts w:ascii="Arial" w:hAnsi="Arial" w:cs="Arial"/>
                <w:color w:val="1F1A17"/>
                <w:w w:val="90"/>
                <w:sz w:val="18"/>
                <w:szCs w:val="18"/>
              </w:rPr>
              <w:t>ürkiye</w:t>
            </w:r>
          </w:p>
        </w:tc>
      </w:tr>
      <w:tr w:rsidTr="00036A52">
        <w:tblPrEx>
          <w:tblW w:w="0" w:type="auto"/>
          <w:tblInd w:w="1140" w:type="dxa"/>
          <w:tblLayout w:type="fixed"/>
          <w:tblCellMar>
            <w:left w:w="0" w:type="dxa"/>
            <w:right w:w="0" w:type="dxa"/>
          </w:tblCellMar>
          <w:tblLook w:val="0000"/>
        </w:tblPrEx>
        <w:trPr>
          <w:trHeight w:val="934"/>
        </w:trPr>
        <w:tc>
          <w:tcPr>
            <w:tcW w:w="1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940"/>
              <w:rPr>
                <w:rFonts w:ascii="Times New Roman" w:hAnsi="Times New Roman"/>
                <w:sz w:val="24"/>
                <w:szCs w:val="24"/>
              </w:rPr>
            </w:pPr>
            <w:r w:rsidRPr="00E43688">
              <w:rPr>
                <w:rFonts w:ascii="Arial" w:hAnsi="Arial" w:cs="Arial"/>
                <w:color w:val="1F1A17"/>
                <w:sz w:val="18"/>
                <w:szCs w:val="18"/>
              </w:rPr>
              <w:t>S</w:t>
            </w:r>
            <w:r>
              <w:rPr>
                <w:rFonts w:ascii="Arial" w:hAnsi="Arial" w:cs="Arial"/>
                <w:color w:val="1F1A17"/>
                <w:sz w:val="18"/>
                <w:szCs w:val="18"/>
              </w:rPr>
              <w:t>ırbistan</w:t>
            </w:r>
          </w:p>
        </w:tc>
        <w:tc>
          <w:tcPr>
            <w:tcW w:w="1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680"/>
              <w:rPr>
                <w:rFonts w:ascii="Times New Roman" w:hAnsi="Times New Roman"/>
                <w:sz w:val="24"/>
                <w:szCs w:val="24"/>
              </w:rPr>
            </w:pPr>
            <w:r w:rsidRPr="00E43688">
              <w:rPr>
                <w:rFonts w:ascii="Arial" w:hAnsi="Arial" w:cs="Arial"/>
                <w:color w:val="1F1A17"/>
                <w:sz w:val="18"/>
                <w:szCs w:val="18"/>
              </w:rPr>
              <w:t>Br</w:t>
            </w:r>
            <w:r>
              <w:rPr>
                <w:rFonts w:ascii="Arial" w:hAnsi="Arial" w:cs="Arial"/>
                <w:color w:val="1F1A17"/>
                <w:sz w:val="18"/>
                <w:szCs w:val="18"/>
              </w:rPr>
              <w:t>ezilya</w:t>
            </w:r>
          </w:p>
        </w:tc>
      </w:tr>
    </w:tbl>
    <w:p w:rsidR="00036A52" w:rsidRPr="00E43688" w:rsidP="00036A52">
      <w:pPr>
        <w:widowControl w:val="0"/>
        <w:autoSpaceDE w:val="0"/>
        <w:autoSpaceDN w:val="0"/>
        <w:adjustRightInd w:val="0"/>
        <w:spacing w:after="0" w:line="27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3380"/>
        <w:rPr>
          <w:rFonts w:ascii="Times New Roman" w:hAnsi="Times New Roman"/>
          <w:sz w:val="24"/>
          <w:szCs w:val="24"/>
        </w:rPr>
      </w:pPr>
      <w:r w:rsidRPr="00E43688">
        <w:rPr>
          <w:rFonts w:ascii="Arial" w:hAnsi="Arial" w:cs="Arial"/>
          <w:color w:val="1F1A17"/>
          <w:sz w:val="18"/>
          <w:szCs w:val="18"/>
        </w:rPr>
        <w:t>T</w:t>
      </w:r>
      <w:r>
        <w:rPr>
          <w:rFonts w:ascii="Arial" w:hAnsi="Arial" w:cs="Arial"/>
          <w:color w:val="1F1A17"/>
          <w:sz w:val="18"/>
          <w:szCs w:val="18"/>
        </w:rPr>
        <w:t>ayland</w:t>
      </w:r>
    </w:p>
    <w:p w:rsidR="00036A52" w:rsidRPr="00E43688" w:rsidP="00036A52">
      <w:pPr>
        <w:widowControl w:val="0"/>
        <w:autoSpaceDE w:val="0"/>
        <w:autoSpaceDN w:val="0"/>
        <w:adjustRightInd w:val="0"/>
        <w:spacing w:after="0" w:line="26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1580"/>
        <w:rPr>
          <w:rFonts w:ascii="Times New Roman" w:hAnsi="Times New Roman"/>
          <w:sz w:val="24"/>
          <w:szCs w:val="24"/>
        </w:rPr>
      </w:pPr>
      <w:r>
        <w:rPr>
          <w:rFonts w:ascii="Times New Roman" w:hAnsi="Times New Roman"/>
          <w:noProof/>
          <w:sz w:val="24"/>
          <w:szCs w:val="24"/>
        </w:rPr>
        <w:drawing>
          <wp:inline distT="0" distB="0" distL="0" distR="0">
            <wp:extent cx="238125" cy="76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29189"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76200"/>
                    </a:xfrm>
                    <a:prstGeom prst="rect">
                      <a:avLst/>
                    </a:prstGeom>
                    <a:noFill/>
                    <a:ln>
                      <a:noFill/>
                    </a:ln>
                  </pic:spPr>
                </pic:pic>
              </a:graphicData>
            </a:graphic>
          </wp:inline>
        </w:drawing>
      </w:r>
      <w:r w:rsidRPr="00E43688">
        <w:rPr>
          <w:rFonts w:ascii="Arial" w:hAnsi="Arial" w:cs="Arial"/>
          <w:color w:val="1F1A17"/>
          <w:sz w:val="18"/>
          <w:szCs w:val="18"/>
        </w:rPr>
        <w:t xml:space="preserve"> T&amp;T </w:t>
      </w:r>
      <w:r>
        <w:rPr>
          <w:rFonts w:ascii="Arial" w:hAnsi="Arial" w:cs="Arial"/>
          <w:color w:val="1F1A17"/>
          <w:sz w:val="18"/>
          <w:szCs w:val="18"/>
        </w:rPr>
        <w:t>Düzenleyici Çerçeve</w:t>
      </w:r>
    </w:p>
    <w:p w:rsidR="00036A52" w:rsidRPr="00E43688" w:rsidP="00036A52">
      <w:pPr>
        <w:widowControl w:val="0"/>
        <w:autoSpaceDE w:val="0"/>
        <w:autoSpaceDN w:val="0"/>
        <w:adjustRightInd w:val="0"/>
        <w:spacing w:after="0" w:line="20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2000"/>
        <w:rPr>
          <w:rFonts w:ascii="Times New Roman" w:hAnsi="Times New Roman"/>
          <w:sz w:val="24"/>
          <w:szCs w:val="24"/>
        </w:rPr>
      </w:pPr>
      <w:r>
        <w:rPr>
          <w:rFonts w:ascii="Arial" w:hAnsi="Arial" w:cs="Arial"/>
          <w:color w:val="1F1A17"/>
          <w:sz w:val="18"/>
          <w:szCs w:val="18"/>
        </w:rPr>
        <w:t>İ</w:t>
      </w:r>
      <w:r>
        <w:rPr>
          <w:rFonts w:ascii="Arial" w:hAnsi="Arial" w:cs="Arial"/>
          <w:color w:val="1F1A17"/>
          <w:sz w:val="18"/>
          <w:szCs w:val="18"/>
        </w:rPr>
        <w:t>ş Ortamı ve Altyapı</w:t>
      </w:r>
    </w:p>
    <w:p w:rsidR="00036A52" w:rsidRPr="00E43688" w:rsidP="00036A52">
      <w:pPr>
        <w:widowControl w:val="0"/>
        <w:autoSpaceDE w:val="0"/>
        <w:autoSpaceDN w:val="0"/>
        <w:adjustRightInd w:val="0"/>
        <w:spacing w:after="0" w:line="14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1580"/>
        <w:rPr>
          <w:rFonts w:ascii="Times New Roman" w:hAnsi="Times New Roman"/>
          <w:sz w:val="24"/>
          <w:szCs w:val="24"/>
        </w:rPr>
      </w:pPr>
      <w:r>
        <w:rPr>
          <w:rFonts w:ascii="Times New Roman" w:hAnsi="Times New Roman"/>
          <w:noProof/>
          <w:sz w:val="24"/>
          <w:szCs w:val="24"/>
        </w:rPr>
        <w:drawing>
          <wp:inline distT="0" distB="0" distL="0" distR="0">
            <wp:extent cx="238125" cy="76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15647"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 cy="76200"/>
                    </a:xfrm>
                    <a:prstGeom prst="rect">
                      <a:avLst/>
                    </a:prstGeom>
                    <a:noFill/>
                    <a:ln>
                      <a:noFill/>
                    </a:ln>
                  </pic:spPr>
                </pic:pic>
              </a:graphicData>
            </a:graphic>
          </wp:inline>
        </w:drawing>
      </w:r>
      <w:r w:rsidRPr="00E43688">
        <w:rPr>
          <w:rFonts w:ascii="Arial" w:hAnsi="Arial" w:cs="Arial"/>
          <w:color w:val="1F1A17"/>
          <w:sz w:val="18"/>
          <w:szCs w:val="18"/>
        </w:rPr>
        <w:t xml:space="preserve"> T&amp;T </w:t>
      </w:r>
      <w:r>
        <w:rPr>
          <w:rFonts w:ascii="Arial" w:hAnsi="Arial" w:cs="Arial"/>
          <w:color w:val="1F1A17"/>
          <w:sz w:val="18"/>
          <w:szCs w:val="18"/>
        </w:rPr>
        <w:t>İnsan, Kültürel ve Doğal Kaynaklar</w:t>
      </w:r>
    </w:p>
    <w:p w:rsidR="00036A52" w:rsidRPr="00E43688" w:rsidP="00036A52">
      <w:pPr>
        <w:widowControl w:val="0"/>
        <w:autoSpaceDE w:val="0"/>
        <w:autoSpaceDN w:val="0"/>
        <w:adjustRightInd w:val="0"/>
        <w:spacing w:after="0" w:line="352"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w:t>
      </w:r>
      <w:r w:rsidRPr="00E43688">
        <w:rPr>
          <w:rFonts w:ascii="Arial" w:hAnsi="Arial" w:cs="Arial"/>
          <w:i/>
          <w:iCs/>
          <w:color w:val="1F1A17"/>
          <w:sz w:val="16"/>
          <w:szCs w:val="16"/>
        </w:rPr>
        <w:t xml:space="preserve">: </w:t>
      </w:r>
      <w:r>
        <w:rPr>
          <w:rFonts w:ascii="Arial" w:hAnsi="Arial" w:cs="Arial"/>
          <w:i/>
          <w:iCs/>
          <w:color w:val="1F1A17"/>
          <w:sz w:val="16"/>
          <w:szCs w:val="16"/>
        </w:rPr>
        <w:t>Dünya Ekonomik Forumu</w:t>
      </w:r>
      <w:r w:rsidRPr="00E43688">
        <w:rPr>
          <w:rFonts w:ascii="Arial" w:hAnsi="Arial" w:cs="Arial"/>
          <w:i/>
          <w:iCs/>
          <w:color w:val="1F1A17"/>
          <w:sz w:val="16"/>
          <w:szCs w:val="16"/>
        </w:rPr>
        <w:t xml:space="preserve">; </w:t>
      </w:r>
      <w:r>
        <w:rPr>
          <w:rFonts w:ascii="Arial" w:hAnsi="Arial" w:cs="Arial"/>
          <w:i/>
          <w:iCs/>
          <w:color w:val="1F1A17"/>
          <w:sz w:val="16"/>
          <w:szCs w:val="16"/>
        </w:rPr>
        <w:t>Seyahat ve Turizm</w:t>
      </w:r>
    </w:p>
    <w:p w:rsidR="00036A52" w:rsidRPr="00E43688" w:rsidP="00036A52">
      <w:pPr>
        <w:widowControl w:val="0"/>
        <w:autoSpaceDE w:val="0"/>
        <w:autoSpaceDN w:val="0"/>
        <w:adjustRightInd w:val="0"/>
        <w:spacing w:after="0" w:line="7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Rekabet Endeksi Raporu</w:t>
      </w:r>
    </w:p>
    <w:p w:rsidR="00036A52" w:rsidRPr="00E43688" w:rsidP="00036A52">
      <w:pPr>
        <w:widowControl w:val="0"/>
        <w:autoSpaceDE w:val="0"/>
        <w:autoSpaceDN w:val="0"/>
        <w:adjustRightInd w:val="0"/>
        <w:spacing w:after="0" w:line="7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Not:</w:t>
      </w:r>
      <w:r w:rsidRPr="00E43688">
        <w:rPr>
          <w:rFonts w:ascii="Arial" w:hAnsi="Arial" w:cs="Arial"/>
          <w:i/>
          <w:iCs/>
          <w:color w:val="1F1A17"/>
          <w:sz w:val="16"/>
          <w:szCs w:val="16"/>
        </w:rPr>
        <w:t xml:space="preserve"> 1-6</w:t>
      </w:r>
      <w:r>
        <w:rPr>
          <w:rFonts w:ascii="Arial" w:hAnsi="Arial" w:cs="Arial"/>
          <w:i/>
          <w:iCs/>
          <w:color w:val="1F1A17"/>
          <w:sz w:val="16"/>
          <w:szCs w:val="16"/>
        </w:rPr>
        <w:t xml:space="preserve"> arası puanlama</w:t>
      </w:r>
    </w:p>
    <w:p w:rsidR="00036A52" w:rsidRPr="00E43688" w:rsidP="00036A52">
      <w:pPr>
        <w:widowControl w:val="0"/>
        <w:autoSpaceDE w:val="0"/>
        <w:autoSpaceDN w:val="0"/>
        <w:adjustRightInd w:val="0"/>
        <w:spacing w:after="0" w:line="375"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 xml:space="preserve">Türk Seyahat Acentaları Birliği’ne göre 2009 yılı sonunda, Türkiye’de toplam 840.241 yatak kapasitesi ile 3379 otel ve tatil köyü vardı. Ülkede sadece 40000 yatak kapasitesinin altında 456 otel varken, bu 1966’dan bu yana muazzam bir büyümedir.Türkiye Turizm Derneği’ne göre yatırımcılar ülke genelinde 22 tane 5 yıldızlı otel ve 36 tane 4 yıldızlı tesis dâhil olmak üzere 124 tane </w:t>
      </w:r>
      <w:r w:rsidR="00FC4E45">
        <w:rPr>
          <w:rFonts w:ascii="Arial" w:hAnsi="Arial" w:cs="Arial"/>
          <w:color w:val="1F1A17"/>
        </w:rPr>
        <w:t>yeni otele 3 milyar dolar akıtmaktadır</w:t>
      </w:r>
      <w:r>
        <w:rPr>
          <w:rFonts w:ascii="Arial" w:hAnsi="Arial" w:cs="Arial"/>
          <w:color w:val="1F1A17"/>
        </w:rPr>
        <w:t>.</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Seyahat Ve Turizm Endüstrisi’nin Türkiye’nin gayrisafi yurtiçi hasılasına katkısında Avrupa’ya kıyasla daha yüksek bir büyüme beklentisi vardır</w:t>
      </w:r>
      <w:r w:rsidRPr="00E43688">
        <w:rPr>
          <w:rFonts w:ascii="Arial" w:hAnsi="Arial" w:cs="Arial"/>
          <w:color w:val="1F1A17"/>
        </w:rPr>
        <w:t>.</w:t>
      </w: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2013’ten 2023’e kadar endüstrinin istihdama katkısının 2,1 milyar dolardan 2,5 milyar dolara yükselmesi, yani %17</w:t>
      </w:r>
      <w:r w:rsidR="0035258E">
        <w:rPr>
          <w:rFonts w:ascii="Arial" w:hAnsi="Arial" w:cs="Arial"/>
          <w:color w:val="1F1A17"/>
        </w:rPr>
        <w:t>’</w:t>
      </w:r>
      <w:r>
        <w:rPr>
          <w:rFonts w:ascii="Arial" w:hAnsi="Arial" w:cs="Arial"/>
          <w:color w:val="1F1A17"/>
        </w:rPr>
        <w:t xml:space="preserve">lik bir artış </w:t>
      </w:r>
      <w:r w:rsidR="0035258E">
        <w:rPr>
          <w:rFonts w:ascii="Arial" w:hAnsi="Arial" w:cs="Arial"/>
          <w:color w:val="1F1A17"/>
        </w:rPr>
        <w:t xml:space="preserve">olması </w:t>
      </w:r>
      <w:r>
        <w:rPr>
          <w:rFonts w:ascii="Arial" w:hAnsi="Arial" w:cs="Arial"/>
          <w:color w:val="1F1A17"/>
        </w:rPr>
        <w:t>öngörülmektedir.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6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2512" behindDoc="1" locked="0" layoutInCell="0" allowOverlap="1">
            <wp:simplePos x="0" y="0"/>
            <wp:positionH relativeFrom="page">
              <wp:posOffset>0</wp:posOffset>
            </wp:positionH>
            <wp:positionV relativeFrom="page">
              <wp:posOffset>377190</wp:posOffset>
            </wp:positionV>
            <wp:extent cx="7880350" cy="9897110"/>
            <wp:effectExtent l="0" t="0" r="0" b="0"/>
            <wp:wrapNone/>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096" name="Picture 203"/>
                    <pic:cNvPicPr>
                      <a:picLocks noChangeAspect="1" noChangeArrowheads="1"/>
                    </pic:cNvPicPr>
                  </pic:nvPicPr>
                  <pic:blipFill>
                    <a:blip xmlns:r="http://schemas.openxmlformats.org/officeDocument/2006/relationships" r:embed="rId3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37" w:lineRule="exact"/>
        <w:rPr>
          <w:rFonts w:ascii="Times New Roman" w:hAnsi="Times New Roman"/>
          <w:sz w:val="24"/>
          <w:szCs w:val="24"/>
        </w:rPr>
      </w:pPr>
    </w:p>
    <w:tbl>
      <w:tblPr>
        <w:tblW w:w="0" w:type="auto"/>
        <w:tblLayout w:type="fixed"/>
        <w:tblCellMar>
          <w:left w:w="0" w:type="dxa"/>
          <w:right w:w="0" w:type="dxa"/>
        </w:tblCellMar>
        <w:tblLook w:val="0000"/>
      </w:tblPr>
      <w:tblGrid>
        <w:gridCol w:w="900"/>
        <w:gridCol w:w="1040"/>
        <w:gridCol w:w="340"/>
        <w:gridCol w:w="340"/>
        <w:gridCol w:w="360"/>
        <w:gridCol w:w="340"/>
        <w:gridCol w:w="420"/>
        <w:gridCol w:w="280"/>
        <w:gridCol w:w="260"/>
        <w:gridCol w:w="440"/>
        <w:gridCol w:w="340"/>
        <w:gridCol w:w="340"/>
        <w:gridCol w:w="360"/>
        <w:gridCol w:w="340"/>
        <w:gridCol w:w="420"/>
        <w:gridCol w:w="280"/>
        <w:gridCol w:w="340"/>
        <w:gridCol w:w="240"/>
        <w:gridCol w:w="20"/>
      </w:tblGrid>
      <w:tr w:rsidTr="00036A52">
        <w:tblPrEx>
          <w:tblW w:w="0" w:type="auto"/>
          <w:tblLayout w:type="fixed"/>
          <w:tblCellMar>
            <w:left w:w="0" w:type="dxa"/>
            <w:right w:w="0" w:type="dxa"/>
          </w:tblCellMar>
          <w:tblLook w:val="0000"/>
        </w:tblPrEx>
        <w:trPr>
          <w:trHeight w:val="259"/>
        </w:trPr>
        <w:tc>
          <w:tcPr>
            <w:tcW w:w="3740" w:type="dxa"/>
            <w:gridSpan w:val="7"/>
            <w:tcBorders>
              <w:top w:val="nil"/>
              <w:left w:val="nil"/>
              <w:bottom w:val="nil"/>
              <w:right w:val="nil"/>
            </w:tcBorders>
            <w:vAlign w:val="bottom"/>
          </w:tcPr>
          <w:p w:rsidR="00036A52" w:rsidRPr="00E32961" w:rsidP="00036A52">
            <w:pPr>
              <w:widowControl w:val="0"/>
              <w:autoSpaceDE w:val="0"/>
              <w:autoSpaceDN w:val="0"/>
              <w:adjustRightInd w:val="0"/>
              <w:spacing w:after="0" w:line="240" w:lineRule="auto"/>
              <w:jc w:val="center"/>
              <w:rPr>
                <w:rFonts w:ascii="Arial" w:hAnsi="Arial" w:cs="Arial"/>
                <w:b/>
                <w:bCs/>
                <w:color w:val="E87817"/>
                <w:w w:val="96"/>
              </w:rPr>
            </w:pPr>
            <w:r>
              <w:rPr>
                <w:rFonts w:ascii="Arial" w:hAnsi="Arial" w:cs="Arial"/>
                <w:b/>
                <w:bCs/>
                <w:color w:val="E87817"/>
                <w:w w:val="96"/>
              </w:rPr>
              <w:t xml:space="preserve"> Seyahat ve Turizm Büyümesi, </w:t>
            </w:r>
            <w:r w:rsidRPr="004511AE">
              <w:rPr>
                <w:rFonts w:ascii="Arial" w:hAnsi="Arial" w:cs="Arial"/>
                <w:b/>
                <w:bCs/>
                <w:color w:val="E87817"/>
                <w:w w:val="96"/>
              </w:rPr>
              <w:t>2007-</w:t>
            </w:r>
            <w:r>
              <w:rPr>
                <w:rFonts w:ascii="Arial" w:hAnsi="Arial" w:cs="Arial"/>
                <w:b/>
                <w:bCs/>
                <w:color w:val="E87817"/>
                <w:w w:val="96"/>
              </w:rPr>
              <w:t>2023</w:t>
            </w: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620"/>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22%</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40" w:type="dxa"/>
            <w:gridSpan w:val="6"/>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color w:val="1F1A17"/>
                <w:sz w:val="16"/>
                <w:szCs w:val="16"/>
              </w:rPr>
              <w:t>Türkiye’nin GSYİH katkısı</w:t>
            </w: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17"/>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20%</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17%</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240" w:type="dxa"/>
            <w:gridSpan w:val="6"/>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color w:val="1F1A17"/>
                <w:sz w:val="16"/>
                <w:szCs w:val="16"/>
              </w:rPr>
              <w:t>Avrupa’nın GSYİH katkısı</w:t>
            </w: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60"/>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10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60"/>
              <w:jc w:val="right"/>
              <w:rPr>
                <w:rFonts w:ascii="Times New Roman" w:hAnsi="Times New Roman"/>
                <w:sz w:val="24"/>
                <w:szCs w:val="24"/>
              </w:rPr>
            </w:pPr>
            <w:r w:rsidRPr="00E43688">
              <w:rPr>
                <w:rFonts w:ascii="Arial" w:hAnsi="Arial" w:cs="Arial"/>
                <w:color w:val="1F1A17"/>
                <w:sz w:val="16"/>
                <w:szCs w:val="16"/>
              </w:rPr>
              <w:t>15%</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40" w:type="dxa"/>
            <w:gridSpan w:val="6"/>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64"/>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10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left="597"/>
              <w:rPr>
                <w:rFonts w:ascii="Times New Roman" w:hAnsi="Times New Roman"/>
                <w:sz w:val="24"/>
                <w:szCs w:val="24"/>
              </w:rPr>
            </w:pPr>
            <w:r w:rsidRPr="00E43688">
              <w:rPr>
                <w:rFonts w:ascii="Arial" w:hAnsi="Arial" w:cs="Arial"/>
                <w:color w:val="1F1A17"/>
                <w:w w:val="96"/>
                <w:sz w:val="16"/>
                <w:szCs w:val="16"/>
              </w:rPr>
              <w:t>Change</w:t>
            </w: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60"/>
              <w:jc w:val="right"/>
              <w:rPr>
                <w:rFonts w:ascii="Times New Roman" w:hAnsi="Times New Roman"/>
                <w:sz w:val="24"/>
                <w:szCs w:val="24"/>
              </w:rPr>
            </w:pPr>
            <w:r w:rsidRPr="00E43688">
              <w:rPr>
                <w:rFonts w:ascii="Arial" w:hAnsi="Arial" w:cs="Arial"/>
                <w:color w:val="1F1A17"/>
                <w:sz w:val="16"/>
                <w:szCs w:val="16"/>
              </w:rPr>
              <w:t>12%</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10%</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7%</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5%</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2%</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-1%</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2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-3%</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93"/>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80"/>
              <w:jc w:val="right"/>
              <w:rPr>
                <w:rFonts w:ascii="Times New Roman" w:hAnsi="Times New Roman"/>
                <w:sz w:val="24"/>
                <w:szCs w:val="24"/>
              </w:rPr>
            </w:pPr>
            <w:r w:rsidRPr="00E43688">
              <w:rPr>
                <w:rFonts w:ascii="Arial" w:hAnsi="Arial" w:cs="Arial"/>
                <w:color w:val="1F1A17"/>
                <w:sz w:val="16"/>
                <w:szCs w:val="16"/>
              </w:rPr>
              <w:t>-6%</w:t>
            </w: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3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w w:val="95"/>
                <w:sz w:val="16"/>
                <w:szCs w:val="16"/>
              </w:rPr>
              <w:t>2011</w:t>
            </w:r>
          </w:p>
        </w:tc>
        <w:tc>
          <w:tcPr>
            <w:tcW w:w="42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60"/>
              <w:rPr>
                <w:rFonts w:ascii="Times New Roman" w:hAnsi="Times New Roman"/>
                <w:sz w:val="24"/>
                <w:szCs w:val="24"/>
              </w:rPr>
            </w:pPr>
            <w:r w:rsidRPr="00E43688">
              <w:rPr>
                <w:rFonts w:ascii="Arial" w:hAnsi="Arial" w:cs="Arial"/>
                <w:color w:val="1F1A17"/>
                <w:w w:val="89"/>
                <w:sz w:val="16"/>
                <w:szCs w:val="16"/>
              </w:rPr>
              <w:t>2012</w:t>
            </w:r>
          </w:p>
        </w:tc>
        <w:tc>
          <w:tcPr>
            <w:tcW w:w="28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5"/>
              <w:rPr>
                <w:rFonts w:ascii="Times New Roman" w:hAnsi="Times New Roman"/>
                <w:sz w:val="24"/>
                <w:szCs w:val="24"/>
              </w:rPr>
            </w:pPr>
            <w:r w:rsidRPr="00E43688">
              <w:rPr>
                <w:rFonts w:ascii="Arial" w:hAnsi="Arial" w:cs="Arial"/>
                <w:color w:val="1F1A17"/>
                <w:sz w:val="16"/>
                <w:szCs w:val="16"/>
              </w:rPr>
              <w:t>2013*</w:t>
            </w:r>
          </w:p>
        </w:tc>
        <w:tc>
          <w:tcPr>
            <w:tcW w:w="26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2014*</w:t>
            </w:r>
          </w:p>
        </w:tc>
        <w:tc>
          <w:tcPr>
            <w:tcW w:w="4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1"/>
              <w:rPr>
                <w:rFonts w:ascii="Times New Roman" w:hAnsi="Times New Roman"/>
                <w:sz w:val="24"/>
                <w:szCs w:val="24"/>
              </w:rPr>
            </w:pPr>
            <w:r w:rsidRPr="00E43688">
              <w:rPr>
                <w:rFonts w:ascii="Arial" w:hAnsi="Arial" w:cs="Arial"/>
                <w:color w:val="1F1A17"/>
                <w:sz w:val="16"/>
                <w:szCs w:val="16"/>
              </w:rPr>
              <w:t>2015*</w:t>
            </w:r>
          </w:p>
        </w:tc>
        <w:tc>
          <w:tcPr>
            <w:tcW w:w="3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2016*</w:t>
            </w:r>
          </w:p>
        </w:tc>
        <w:tc>
          <w:tcPr>
            <w:tcW w:w="3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1"/>
              <w:rPr>
                <w:rFonts w:ascii="Times New Roman" w:hAnsi="Times New Roman"/>
                <w:sz w:val="24"/>
                <w:szCs w:val="24"/>
              </w:rPr>
            </w:pPr>
            <w:r w:rsidRPr="00E43688">
              <w:rPr>
                <w:rFonts w:ascii="Arial" w:hAnsi="Arial" w:cs="Arial"/>
                <w:color w:val="1F1A17"/>
                <w:sz w:val="16"/>
                <w:szCs w:val="16"/>
              </w:rPr>
              <w:t>2017*</w:t>
            </w:r>
          </w:p>
        </w:tc>
        <w:tc>
          <w:tcPr>
            <w:tcW w:w="36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2"/>
              <w:rPr>
                <w:rFonts w:ascii="Times New Roman" w:hAnsi="Times New Roman"/>
                <w:sz w:val="24"/>
                <w:szCs w:val="24"/>
              </w:rPr>
            </w:pPr>
            <w:r w:rsidRPr="00E43688">
              <w:rPr>
                <w:rFonts w:ascii="Arial" w:hAnsi="Arial" w:cs="Arial"/>
                <w:color w:val="1F1A17"/>
                <w:sz w:val="16"/>
                <w:szCs w:val="16"/>
              </w:rPr>
              <w:t>2018*</w:t>
            </w:r>
          </w:p>
        </w:tc>
        <w:tc>
          <w:tcPr>
            <w:tcW w:w="3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2019*</w:t>
            </w:r>
          </w:p>
        </w:tc>
        <w:tc>
          <w:tcPr>
            <w:tcW w:w="42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64"/>
              <w:rPr>
                <w:rFonts w:ascii="Times New Roman" w:hAnsi="Times New Roman"/>
                <w:sz w:val="24"/>
                <w:szCs w:val="24"/>
              </w:rPr>
            </w:pPr>
            <w:r w:rsidRPr="00E43688">
              <w:rPr>
                <w:rFonts w:ascii="Arial" w:hAnsi="Arial" w:cs="Arial"/>
                <w:color w:val="1F1A17"/>
                <w:sz w:val="16"/>
                <w:szCs w:val="16"/>
              </w:rPr>
              <w:t>2020*</w:t>
            </w:r>
          </w:p>
        </w:tc>
        <w:tc>
          <w:tcPr>
            <w:tcW w:w="28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2021*</w:t>
            </w:r>
          </w:p>
        </w:tc>
        <w:tc>
          <w:tcPr>
            <w:tcW w:w="3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2022*</w:t>
            </w:r>
          </w:p>
        </w:tc>
        <w:tc>
          <w:tcPr>
            <w:tcW w:w="24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00" w:lineRule="auto"/>
              <w:rPr>
                <w:rFonts w:ascii="Times New Roman" w:hAnsi="Times New Roman"/>
                <w:sz w:val="24"/>
                <w:szCs w:val="24"/>
              </w:rPr>
            </w:pPr>
            <w:r w:rsidRPr="00E43688">
              <w:rPr>
                <w:rFonts w:ascii="Arial" w:hAnsi="Arial" w:cs="Arial"/>
                <w:color w:val="1F1A17"/>
                <w:sz w:val="16"/>
                <w:szCs w:val="16"/>
              </w:rPr>
              <w:t>2023*</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475"/>
        </w:trPr>
        <w:tc>
          <w:tcPr>
            <w:tcW w:w="9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right="9"/>
              <w:rPr>
                <w:rFonts w:ascii="Times New Roman" w:hAnsi="Times New Roman"/>
                <w:sz w:val="24"/>
                <w:szCs w:val="24"/>
              </w:rPr>
            </w:pPr>
            <w:r w:rsidRPr="00E43688">
              <w:rPr>
                <w:rFonts w:ascii="Arial" w:hAnsi="Arial" w:cs="Arial"/>
                <w:color w:val="1F1A17"/>
                <w:sz w:val="16"/>
                <w:szCs w:val="16"/>
              </w:rPr>
              <w:t>2007</w:t>
            </w:r>
          </w:p>
        </w:tc>
        <w:tc>
          <w:tcPr>
            <w:tcW w:w="340" w:type="dxa"/>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2008</w:t>
            </w:r>
          </w:p>
        </w:tc>
        <w:tc>
          <w:tcPr>
            <w:tcW w:w="340" w:type="dxa"/>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2009</w:t>
            </w:r>
          </w:p>
        </w:tc>
        <w:tc>
          <w:tcPr>
            <w:tcW w:w="360" w:type="dxa"/>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w w:val="89"/>
                <w:sz w:val="16"/>
                <w:szCs w:val="16"/>
              </w:rPr>
              <w:t>2010</w:t>
            </w:r>
          </w:p>
        </w:tc>
        <w:tc>
          <w:tcPr>
            <w:tcW w:w="3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bl>
    <w:p w:rsidR="00036A52" w:rsidRPr="00E43688" w:rsidP="00036A52">
      <w:pPr>
        <w:widowControl w:val="0"/>
        <w:autoSpaceDE w:val="0"/>
        <w:autoSpaceDN w:val="0"/>
        <w:adjustRightInd w:val="0"/>
        <w:spacing w:after="0" w:line="25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Kaynak:Dünya Seyahat ve Turizm Konseyi</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1" w:lineRule="exact"/>
        <w:rPr>
          <w:rFonts w:ascii="Times New Roman" w:hAnsi="Times New Roman"/>
          <w:sz w:val="24"/>
          <w:szCs w:val="24"/>
        </w:rPr>
      </w:pPr>
    </w:p>
    <w:tbl>
      <w:tblPr>
        <w:tblW w:w="0" w:type="auto"/>
        <w:tblLayout w:type="fixed"/>
        <w:tblCellMar>
          <w:left w:w="0" w:type="dxa"/>
          <w:right w:w="0" w:type="dxa"/>
        </w:tblCellMar>
        <w:tblLook w:val="0000"/>
      </w:tblPr>
      <w:tblGrid>
        <w:gridCol w:w="880"/>
        <w:gridCol w:w="820"/>
        <w:gridCol w:w="60"/>
        <w:gridCol w:w="200"/>
        <w:gridCol w:w="260"/>
        <w:gridCol w:w="60"/>
        <w:gridCol w:w="220"/>
        <w:gridCol w:w="220"/>
        <w:gridCol w:w="60"/>
        <w:gridCol w:w="220"/>
        <w:gridCol w:w="220"/>
        <w:gridCol w:w="40"/>
        <w:gridCol w:w="240"/>
        <w:gridCol w:w="220"/>
        <w:gridCol w:w="60"/>
        <w:gridCol w:w="200"/>
        <w:gridCol w:w="220"/>
        <w:gridCol w:w="60"/>
        <w:gridCol w:w="200"/>
        <w:gridCol w:w="180"/>
        <w:gridCol w:w="60"/>
        <w:gridCol w:w="60"/>
        <w:gridCol w:w="220"/>
        <w:gridCol w:w="300"/>
        <w:gridCol w:w="80"/>
        <w:gridCol w:w="100"/>
        <w:gridCol w:w="380"/>
        <w:gridCol w:w="260"/>
        <w:gridCol w:w="60"/>
        <w:gridCol w:w="80"/>
        <w:gridCol w:w="980"/>
        <w:gridCol w:w="160"/>
        <w:gridCol w:w="20"/>
      </w:tblGrid>
      <w:tr w:rsidTr="00036A52">
        <w:tblPrEx>
          <w:tblW w:w="0" w:type="auto"/>
          <w:tblLayout w:type="fixed"/>
          <w:tblCellMar>
            <w:left w:w="0" w:type="dxa"/>
            <w:right w:w="0" w:type="dxa"/>
          </w:tblCellMar>
          <w:tblLook w:val="0000"/>
        </w:tblPrEx>
        <w:trPr>
          <w:trHeight w:val="259"/>
        </w:trPr>
        <w:tc>
          <w:tcPr>
            <w:tcW w:w="4260" w:type="dxa"/>
            <w:gridSpan w:val="18"/>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color w:val="E87817"/>
                <w:w w:val="96"/>
              </w:rPr>
              <w:t>Seyahat ve Turizm İstihdamı</w:t>
            </w:r>
            <w:r w:rsidRPr="00E43688">
              <w:rPr>
                <w:rFonts w:ascii="Arial" w:hAnsi="Arial" w:cs="Arial"/>
                <w:b/>
                <w:bCs/>
                <w:color w:val="E87817"/>
                <w:w w:val="96"/>
              </w:rPr>
              <w:t>, 2007-2023</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622"/>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2,500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15%</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41"/>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03"/>
              <w:jc w:val="right"/>
              <w:rPr>
                <w:rFonts w:ascii="Times New Roman" w:hAnsi="Times New Roman"/>
                <w:sz w:val="24"/>
                <w:szCs w:val="24"/>
              </w:rPr>
            </w:pPr>
            <w:r w:rsidRPr="00E43688">
              <w:rPr>
                <w:rFonts w:ascii="Arial" w:hAnsi="Arial" w:cs="Arial"/>
                <w:color w:val="1F1A17"/>
                <w:sz w:val="15"/>
                <w:szCs w:val="15"/>
              </w:rPr>
              <w:t>%</w:t>
            </w: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3"/>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4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63"/>
              <w:jc w:val="right"/>
              <w:rPr>
                <w:rFonts w:ascii="Times New Roman" w:hAnsi="Times New Roman"/>
                <w:sz w:val="24"/>
                <w:szCs w:val="24"/>
              </w:rPr>
            </w:pPr>
            <w:r w:rsidRPr="00E43688">
              <w:rPr>
                <w:rFonts w:ascii="Arial" w:hAnsi="Arial" w:cs="Arial"/>
                <w:color w:val="1F1A17"/>
                <w:sz w:val="2"/>
                <w:szCs w:val="2"/>
              </w:rPr>
              <w:t>4</w:t>
            </w: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1"/>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1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218" w:lineRule="auto"/>
              <w:ind w:right="9"/>
              <w:jc w:val="right"/>
              <w:rPr>
                <w:rFonts w:ascii="Times New Roman" w:hAnsi="Times New Roman"/>
                <w:sz w:val="24"/>
                <w:szCs w:val="24"/>
              </w:rPr>
            </w:pPr>
            <w:r w:rsidRPr="00E43688">
              <w:rPr>
                <w:rFonts w:ascii="Arial" w:hAnsi="Arial" w:cs="Arial"/>
                <w:color w:val="1F1A17"/>
                <w:sz w:val="2"/>
                <w:szCs w:val="2"/>
              </w:rPr>
              <w:t>1</w:t>
            </w: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6"/>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2,000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3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8" w:lineRule="auto"/>
              <w:ind w:right="9"/>
              <w:jc w:val="right"/>
              <w:rPr>
                <w:rFonts w:ascii="Times New Roman" w:hAnsi="Times New Roman"/>
                <w:sz w:val="24"/>
                <w:szCs w:val="24"/>
              </w:rPr>
            </w:pPr>
            <w:r w:rsidRPr="00E43688">
              <w:rPr>
                <w:rFonts w:ascii="Arial" w:hAnsi="Arial" w:cs="Arial"/>
                <w:color w:val="1F1A17"/>
                <w:sz w:val="4"/>
                <w:szCs w:val="4"/>
              </w:rPr>
              <w:t>7.</w:t>
            </w: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10%</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78"/>
        </w:trPr>
        <w:tc>
          <w:tcPr>
            <w:tcW w:w="880" w:type="dxa"/>
            <w:vMerge w:val="restart"/>
            <w:tcBorders>
              <w:top w:val="nil"/>
              <w:left w:val="nil"/>
              <w:bottom w:val="nil"/>
              <w:right w:val="nil"/>
            </w:tcBorders>
            <w:textDirection w:val="btLr"/>
            <w:vAlign w:val="bottom"/>
          </w:tcPr>
          <w:p w:rsidR="00036A52" w:rsidRPr="00E43688" w:rsidP="00036A52">
            <w:pPr>
              <w:widowControl w:val="0"/>
              <w:autoSpaceDE w:val="0"/>
              <w:autoSpaceDN w:val="0"/>
              <w:adjustRightInd w:val="0"/>
              <w:spacing w:after="0" w:line="240" w:lineRule="auto"/>
              <w:ind w:left="517"/>
              <w:rPr>
                <w:rFonts w:ascii="Times New Roman" w:hAnsi="Times New Roman"/>
                <w:sz w:val="24"/>
                <w:szCs w:val="24"/>
              </w:rPr>
            </w:pPr>
            <w:r>
              <w:rPr>
                <w:rFonts w:ascii="Arial" w:hAnsi="Arial" w:cs="Arial"/>
                <w:b/>
                <w:bCs/>
                <w:color w:val="1F1A17"/>
                <w:sz w:val="16"/>
                <w:szCs w:val="16"/>
              </w:rPr>
              <w:t>USDMilyar</w:t>
            </w: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5"/>
                <w:szCs w:val="15"/>
              </w:rPr>
              <w:t>1</w:t>
            </w: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9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55"/>
        </w:trPr>
        <w:tc>
          <w:tcPr>
            <w:tcW w:w="8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1,500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5%</w:t>
            </w:r>
          </w:p>
        </w:tc>
        <w:tc>
          <w:tcPr>
            <w:tcW w:w="160" w:type="dxa"/>
            <w:vMerge w:val="restart"/>
            <w:tcBorders>
              <w:top w:val="nil"/>
              <w:left w:val="nil"/>
              <w:bottom w:val="nil"/>
              <w:right w:val="nil"/>
            </w:tcBorders>
            <w:textDirection w:val="tbRl"/>
            <w:vAlign w:val="bottom"/>
          </w:tcPr>
          <w:p w:rsidR="00036A52" w:rsidRPr="00E43688" w:rsidP="00036A52">
            <w:pPr>
              <w:widowControl w:val="0"/>
              <w:autoSpaceDE w:val="0"/>
              <w:autoSpaceDN w:val="0"/>
              <w:adjustRightInd w:val="0"/>
              <w:spacing w:after="0" w:line="208" w:lineRule="auto"/>
              <w:ind w:left="1"/>
              <w:jc w:val="right"/>
              <w:rPr>
                <w:rFonts w:ascii="Times New Roman" w:hAnsi="Times New Roman"/>
                <w:sz w:val="24"/>
                <w:szCs w:val="24"/>
              </w:rPr>
            </w:pPr>
            <w:r>
              <w:rPr>
                <w:rFonts w:ascii="Arial" w:hAnsi="Arial" w:cs="Arial"/>
                <w:b/>
                <w:bCs/>
                <w:color w:val="1F1A17"/>
                <w:sz w:val="16"/>
                <w:szCs w:val="16"/>
              </w:rPr>
              <w:t>Büyüme</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440"/>
        </w:trPr>
        <w:tc>
          <w:tcPr>
            <w:tcW w:w="8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1,000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0%</w:t>
            </w:r>
          </w:p>
        </w:tc>
        <w:tc>
          <w:tcPr>
            <w:tcW w:w="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304"/>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500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-5%</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372"/>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1"/>
              <w:jc w:val="right"/>
              <w:rPr>
                <w:rFonts w:ascii="Times New Roman" w:hAnsi="Times New Roman"/>
                <w:sz w:val="24"/>
                <w:szCs w:val="24"/>
              </w:rPr>
            </w:pPr>
            <w:r w:rsidRPr="00E43688">
              <w:rPr>
                <w:rFonts w:ascii="Arial" w:hAnsi="Arial" w:cs="Arial"/>
                <w:color w:val="1F1A17"/>
                <w:sz w:val="16"/>
                <w:szCs w:val="16"/>
              </w:rPr>
              <w:t>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80"/>
              <w:rPr>
                <w:rFonts w:ascii="Times New Roman" w:hAnsi="Times New Roman"/>
                <w:sz w:val="24"/>
                <w:szCs w:val="24"/>
              </w:rPr>
            </w:pPr>
            <w:r w:rsidRPr="00E43688">
              <w:rPr>
                <w:rFonts w:ascii="Arial" w:hAnsi="Arial" w:cs="Arial"/>
                <w:color w:val="1F1A17"/>
                <w:sz w:val="16"/>
                <w:szCs w:val="16"/>
              </w:rPr>
              <w:t>-10%</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32"/>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3"/>
              <w:jc w:val="right"/>
              <w:rPr>
                <w:rFonts w:ascii="Times New Roman" w:hAnsi="Times New Roman"/>
                <w:sz w:val="24"/>
                <w:szCs w:val="24"/>
              </w:rPr>
            </w:pPr>
            <w:r w:rsidRPr="00E43688">
              <w:rPr>
                <w:rFonts w:ascii="Arial" w:hAnsi="Arial" w:cs="Arial"/>
                <w:color w:val="1F1A17"/>
                <w:sz w:val="11"/>
                <w:szCs w:val="11"/>
              </w:rPr>
              <w:t>7</w:t>
            </w: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3"/>
              <w:jc w:val="right"/>
              <w:rPr>
                <w:rFonts w:ascii="Times New Roman" w:hAnsi="Times New Roman"/>
                <w:sz w:val="24"/>
                <w:szCs w:val="24"/>
              </w:rPr>
            </w:pPr>
            <w:r w:rsidRPr="00E43688">
              <w:rPr>
                <w:rFonts w:ascii="Arial" w:hAnsi="Arial" w:cs="Arial"/>
                <w:color w:val="1F1A17"/>
                <w:sz w:val="11"/>
                <w:szCs w:val="11"/>
              </w:rPr>
              <w:t>8</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3"/>
              <w:jc w:val="right"/>
              <w:rPr>
                <w:rFonts w:ascii="Times New Roman" w:hAnsi="Times New Roman"/>
                <w:sz w:val="24"/>
                <w:szCs w:val="24"/>
              </w:rPr>
            </w:pPr>
            <w:r w:rsidRPr="00E43688">
              <w:rPr>
                <w:rFonts w:ascii="Arial" w:hAnsi="Arial" w:cs="Arial"/>
                <w:color w:val="1F1A17"/>
                <w:sz w:val="11"/>
                <w:szCs w:val="11"/>
              </w:rPr>
              <w:t>9</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83"/>
              <w:jc w:val="right"/>
              <w:rPr>
                <w:rFonts w:ascii="Times New Roman" w:hAnsi="Times New Roman"/>
                <w:sz w:val="24"/>
                <w:szCs w:val="24"/>
              </w:rPr>
            </w:pPr>
            <w:r w:rsidRPr="00E43688">
              <w:rPr>
                <w:rFonts w:ascii="Arial" w:hAnsi="Arial" w:cs="Arial"/>
                <w:color w:val="1F1A17"/>
                <w:sz w:val="11"/>
                <w:szCs w:val="11"/>
              </w:rPr>
              <w:t>0</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3"/>
              <w:jc w:val="right"/>
              <w:rPr>
                <w:rFonts w:ascii="Times New Roman" w:hAnsi="Times New Roman"/>
                <w:sz w:val="24"/>
                <w:szCs w:val="24"/>
              </w:rPr>
            </w:pPr>
            <w:r w:rsidRPr="00E43688">
              <w:rPr>
                <w:rFonts w:ascii="Arial" w:hAnsi="Arial" w:cs="Arial"/>
                <w:color w:val="1F1A17"/>
                <w:sz w:val="11"/>
                <w:szCs w:val="11"/>
              </w:rPr>
              <w:t>1</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3"/>
              <w:jc w:val="right"/>
              <w:rPr>
                <w:rFonts w:ascii="Times New Roman" w:hAnsi="Times New Roman"/>
                <w:sz w:val="24"/>
                <w:szCs w:val="24"/>
              </w:rPr>
            </w:pPr>
            <w:r w:rsidRPr="00E43688">
              <w:rPr>
                <w:rFonts w:ascii="Arial" w:hAnsi="Arial" w:cs="Arial"/>
                <w:color w:val="1F1A17"/>
                <w:sz w:val="11"/>
                <w:szCs w:val="11"/>
              </w:rPr>
              <w:t>2</w:t>
            </w: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3"/>
              <w:jc w:val="right"/>
              <w:rPr>
                <w:rFonts w:ascii="Times New Roman" w:hAnsi="Times New Roman"/>
                <w:sz w:val="24"/>
                <w:szCs w:val="24"/>
              </w:rPr>
            </w:pPr>
            <w:r w:rsidRPr="00E43688">
              <w:rPr>
                <w:rFonts w:ascii="Arial" w:hAnsi="Arial" w:cs="Arial"/>
                <w:color w:val="1F1A17"/>
                <w:sz w:val="11"/>
                <w:szCs w:val="11"/>
              </w:rPr>
              <w:t>*</w:t>
            </w: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0"/>
              <w:rPr>
                <w:rFonts w:ascii="Times New Roman" w:hAnsi="Times New Roman"/>
                <w:sz w:val="24"/>
                <w:szCs w:val="24"/>
              </w:rPr>
            </w:pPr>
            <w:r w:rsidRPr="00E43688">
              <w:rPr>
                <w:rFonts w:ascii="Arial" w:hAnsi="Arial" w:cs="Arial"/>
                <w:color w:val="1F1A17"/>
                <w:sz w:val="11"/>
                <w:szCs w:val="11"/>
              </w:rPr>
              <w:t>*</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53"/>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03"/>
              <w:jc w:val="right"/>
              <w:rPr>
                <w:rFonts w:ascii="Times New Roman" w:hAnsi="Times New Roman"/>
                <w:sz w:val="24"/>
                <w:szCs w:val="24"/>
              </w:rPr>
            </w:pPr>
            <w:r w:rsidRPr="00E43688">
              <w:rPr>
                <w:rFonts w:ascii="Arial" w:hAnsi="Arial" w:cs="Arial"/>
                <w:color w:val="1F1A17"/>
                <w:sz w:val="6"/>
                <w:szCs w:val="6"/>
              </w:rPr>
              <w:t>0</w:t>
            </w: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23"/>
              <w:jc w:val="right"/>
              <w:rPr>
                <w:rFonts w:ascii="Times New Roman" w:hAnsi="Times New Roman"/>
                <w:sz w:val="24"/>
                <w:szCs w:val="24"/>
              </w:rPr>
            </w:pPr>
            <w:r w:rsidRPr="00E43688">
              <w:rPr>
                <w:rFonts w:ascii="Arial" w:hAnsi="Arial" w:cs="Arial"/>
                <w:color w:val="1F1A17"/>
                <w:sz w:val="6"/>
                <w:szCs w:val="6"/>
              </w:rPr>
              <w:t>0</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23"/>
              <w:jc w:val="right"/>
              <w:rPr>
                <w:rFonts w:ascii="Times New Roman" w:hAnsi="Times New Roman"/>
                <w:sz w:val="24"/>
                <w:szCs w:val="24"/>
              </w:rPr>
            </w:pPr>
            <w:r w:rsidRPr="00E43688">
              <w:rPr>
                <w:rFonts w:ascii="Arial" w:hAnsi="Arial" w:cs="Arial"/>
                <w:color w:val="1F1A17"/>
                <w:sz w:val="6"/>
                <w:szCs w:val="6"/>
              </w:rPr>
              <w:t>0</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23"/>
              <w:jc w:val="right"/>
              <w:rPr>
                <w:rFonts w:ascii="Times New Roman" w:hAnsi="Times New Roman"/>
                <w:sz w:val="24"/>
                <w:szCs w:val="24"/>
              </w:rPr>
            </w:pPr>
            <w:r w:rsidRPr="00E43688">
              <w:rPr>
                <w:rFonts w:ascii="Arial" w:hAnsi="Arial" w:cs="Arial"/>
                <w:color w:val="1F1A17"/>
                <w:sz w:val="6"/>
                <w:szCs w:val="6"/>
              </w:rPr>
              <w:t>1</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03"/>
              <w:jc w:val="right"/>
              <w:rPr>
                <w:rFonts w:ascii="Times New Roman" w:hAnsi="Times New Roman"/>
                <w:sz w:val="24"/>
                <w:szCs w:val="24"/>
              </w:rPr>
            </w:pPr>
            <w:r w:rsidRPr="00E43688">
              <w:rPr>
                <w:rFonts w:ascii="Arial" w:hAnsi="Arial" w:cs="Arial"/>
                <w:color w:val="1F1A17"/>
                <w:sz w:val="6"/>
                <w:szCs w:val="6"/>
              </w:rPr>
              <w:t>1</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03"/>
              <w:jc w:val="right"/>
              <w:rPr>
                <w:rFonts w:ascii="Times New Roman" w:hAnsi="Times New Roman"/>
                <w:sz w:val="24"/>
                <w:szCs w:val="24"/>
              </w:rPr>
            </w:pPr>
            <w:r w:rsidRPr="00E43688">
              <w:rPr>
                <w:rFonts w:ascii="Arial" w:hAnsi="Arial" w:cs="Arial"/>
                <w:color w:val="1F1A17"/>
                <w:sz w:val="6"/>
                <w:szCs w:val="6"/>
              </w:rPr>
              <w:t>1</w:t>
            </w: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123"/>
              <w:jc w:val="right"/>
              <w:rPr>
                <w:rFonts w:ascii="Times New Roman" w:hAnsi="Times New Roman"/>
                <w:sz w:val="24"/>
                <w:szCs w:val="24"/>
              </w:rPr>
            </w:pPr>
            <w:r w:rsidRPr="00E43688">
              <w:rPr>
                <w:rFonts w:ascii="Arial" w:hAnsi="Arial" w:cs="Arial"/>
                <w:color w:val="1F1A17"/>
                <w:sz w:val="6"/>
                <w:szCs w:val="6"/>
              </w:rPr>
              <w:t>3</w:t>
            </w: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10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4" w:lineRule="auto"/>
              <w:ind w:right="863"/>
              <w:jc w:val="right"/>
              <w:rPr>
                <w:rFonts w:ascii="Times New Roman" w:hAnsi="Times New Roman"/>
                <w:sz w:val="24"/>
                <w:szCs w:val="24"/>
              </w:rPr>
            </w:pPr>
            <w:r w:rsidRPr="00E43688">
              <w:rPr>
                <w:rFonts w:ascii="Arial" w:hAnsi="Arial" w:cs="Arial"/>
                <w:color w:val="1F1A17"/>
                <w:sz w:val="6"/>
                <w:szCs w:val="6"/>
              </w:rPr>
              <w:t>3</w:t>
            </w: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75"/>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8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32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8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0</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2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1</w:t>
            </w: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4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96" w:lineRule="auto"/>
              <w:jc w:val="right"/>
              <w:rPr>
                <w:rFonts w:ascii="Times New Roman" w:hAnsi="Times New Roman"/>
                <w:sz w:val="24"/>
                <w:szCs w:val="24"/>
              </w:rPr>
            </w:pPr>
            <w:r w:rsidRPr="00E43688">
              <w:rPr>
                <w:rFonts w:ascii="Arial" w:hAnsi="Arial" w:cs="Arial"/>
                <w:color w:val="1F1A17"/>
                <w:sz w:val="8"/>
                <w:szCs w:val="8"/>
              </w:rPr>
              <w:t>2</w:t>
            </w: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63"/>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0</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2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87" w:lineRule="auto"/>
              <w:jc w:val="right"/>
              <w:rPr>
                <w:rFonts w:ascii="Times New Roman" w:hAnsi="Times New Roman"/>
                <w:sz w:val="24"/>
                <w:szCs w:val="24"/>
              </w:rPr>
            </w:pPr>
            <w:r w:rsidRPr="00E43688">
              <w:rPr>
                <w:rFonts w:ascii="Arial" w:hAnsi="Arial" w:cs="Arial"/>
                <w:color w:val="1F1A17"/>
                <w:sz w:val="7"/>
                <w:szCs w:val="7"/>
              </w:rPr>
              <w:t>0</w:t>
            </w: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48"/>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1"/>
                <w:szCs w:val="11"/>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1"/>
                <w:szCs w:val="11"/>
              </w:rPr>
              <w:t>2</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87"/>
        </w:trPr>
        <w:tc>
          <w:tcPr>
            <w:tcW w:w="8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300" w:type="dxa"/>
            <w:gridSpan w:val="14"/>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2"/>
              <w:jc w:val="right"/>
              <w:rPr>
                <w:rFonts w:ascii="Times New Roman" w:hAnsi="Times New Roman"/>
                <w:sz w:val="24"/>
                <w:szCs w:val="24"/>
              </w:rPr>
            </w:pPr>
            <w:r>
              <w:rPr>
                <w:rFonts w:ascii="Arial" w:hAnsi="Arial" w:cs="Arial"/>
                <w:b/>
                <w:bCs/>
                <w:color w:val="1F1A17"/>
                <w:sz w:val="16"/>
                <w:szCs w:val="16"/>
              </w:rPr>
              <w:t>İstihdama Katkı- Büyüme</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60" w:type="dxa"/>
            <w:gridSpan w:val="4"/>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03"/>
              <w:jc w:val="right"/>
              <w:rPr>
                <w:rFonts w:ascii="Times New Roman" w:hAnsi="Times New Roman"/>
                <w:sz w:val="24"/>
                <w:szCs w:val="24"/>
              </w:rPr>
            </w:pPr>
            <w:r>
              <w:rPr>
                <w:rFonts w:ascii="Arial" w:hAnsi="Arial" w:cs="Arial"/>
                <w:b/>
                <w:bCs/>
                <w:color w:val="1F1A17"/>
                <w:sz w:val="16"/>
                <w:szCs w:val="16"/>
              </w:rPr>
              <w:t>Büyüme</w:t>
            </w:r>
          </w:p>
        </w:tc>
        <w:tc>
          <w:tcPr>
            <w:tcW w:w="2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bl>
    <w:p w:rsidR="00036A52" w:rsidRPr="00E43688" w:rsidP="00036A52">
      <w:pPr>
        <w:widowControl w:val="0"/>
        <w:autoSpaceDE w:val="0"/>
        <w:autoSpaceDN w:val="0"/>
        <w:adjustRightInd w:val="0"/>
        <w:spacing w:after="0" w:line="237"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Kaynak:Dünya Seyahat ve Turizm Konseyi</w:t>
      </w:r>
    </w:p>
    <w:p w:rsidR="00036A52" w:rsidRPr="00E43688" w:rsidP="00036A52">
      <w:pPr>
        <w:widowControl w:val="0"/>
        <w:autoSpaceDE w:val="0"/>
        <w:autoSpaceDN w:val="0"/>
        <w:adjustRightInd w:val="0"/>
        <w:spacing w:after="0" w:line="39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255 tane otel işletmesinin</w:t>
      </w:r>
      <w:r w:rsidRPr="00E43688">
        <w:rPr>
          <w:rFonts w:ascii="Arial" w:hAnsi="Arial" w:cs="Arial"/>
          <w:color w:val="1F1A17"/>
        </w:rPr>
        <w:t>,Ameri</w:t>
      </w:r>
      <w:r>
        <w:rPr>
          <w:rFonts w:ascii="Arial" w:hAnsi="Arial" w:cs="Arial"/>
          <w:color w:val="1F1A17"/>
        </w:rPr>
        <w:t>ka’da</w:t>
      </w:r>
      <w:r w:rsidRPr="00E43688">
        <w:rPr>
          <w:rFonts w:ascii="Arial" w:hAnsi="Arial" w:cs="Arial"/>
          <w:color w:val="1F1A17"/>
        </w:rPr>
        <w:t xml:space="preserve"> Hilton, theRitzCarltonHotelsand Resorts</w:t>
      </w:r>
      <w:r>
        <w:rPr>
          <w:rFonts w:ascii="Arial" w:hAnsi="Arial" w:cs="Arial"/>
          <w:color w:val="1F1A17"/>
        </w:rPr>
        <w:t>,</w:t>
      </w:r>
      <w:r w:rsidRPr="00E43688">
        <w:rPr>
          <w:rFonts w:ascii="Arial" w:hAnsi="Arial" w:cs="Arial"/>
          <w:color w:val="1F1A17"/>
        </w:rPr>
        <w:t xml:space="preserve"> Sheraton</w:t>
      </w:r>
      <w:r>
        <w:rPr>
          <w:rFonts w:ascii="Arial" w:hAnsi="Arial" w:cs="Arial"/>
          <w:color w:val="1F1A17"/>
        </w:rPr>
        <w:t xml:space="preserve"> veK</w:t>
      </w:r>
      <w:r w:rsidRPr="00E43688">
        <w:rPr>
          <w:rFonts w:ascii="Arial" w:hAnsi="Arial" w:cs="Arial"/>
          <w:color w:val="1F1A17"/>
        </w:rPr>
        <w:t>anada’</w:t>
      </w:r>
      <w:r>
        <w:rPr>
          <w:rFonts w:ascii="Arial" w:hAnsi="Arial" w:cs="Arial"/>
          <w:color w:val="1F1A17"/>
        </w:rPr>
        <w:t xml:space="preserve">da </w:t>
      </w:r>
      <w:r w:rsidRPr="00E43688">
        <w:rPr>
          <w:rFonts w:ascii="Arial" w:hAnsi="Arial" w:cs="Arial"/>
          <w:color w:val="1F1A17"/>
        </w:rPr>
        <w:t>FourSeasonsHotelsand</w:t>
      </w:r>
      <w:r>
        <w:rPr>
          <w:rFonts w:ascii="Arial" w:hAnsi="Arial" w:cs="Arial"/>
          <w:color w:val="1F1A17"/>
        </w:rPr>
        <w:t xml:space="preserve"> Resorts, Almanya’da</w:t>
      </w:r>
      <w:r w:rsidRPr="00E43688">
        <w:rPr>
          <w:rFonts w:ascii="Arial" w:hAnsi="Arial" w:cs="Arial"/>
          <w:color w:val="1F1A17"/>
        </w:rPr>
        <w:t>Kempinski</w:t>
      </w:r>
      <w:r>
        <w:rPr>
          <w:rFonts w:ascii="Arial" w:hAnsi="Arial" w:cs="Arial"/>
          <w:color w:val="1F1A17"/>
        </w:rPr>
        <w:t>ve</w:t>
      </w:r>
      <w:r w:rsidRPr="00E43688">
        <w:rPr>
          <w:rFonts w:ascii="Arial" w:hAnsi="Arial" w:cs="Arial"/>
          <w:color w:val="1F1A17"/>
        </w:rPr>
        <w:t>Iberote, theMarriottl</w:t>
      </w:r>
      <w:r>
        <w:rPr>
          <w:rFonts w:ascii="Arial" w:hAnsi="Arial" w:cs="Arial"/>
          <w:color w:val="1F1A17"/>
        </w:rPr>
        <w:t xml:space="preserve"> ve</w:t>
      </w:r>
      <w:r w:rsidRPr="00E43688">
        <w:rPr>
          <w:rFonts w:ascii="Arial" w:hAnsi="Arial" w:cs="Arial"/>
          <w:color w:val="1F1A17"/>
        </w:rPr>
        <w:t xml:space="preserve"> Fran</w:t>
      </w:r>
      <w:r>
        <w:rPr>
          <w:rFonts w:ascii="Arial" w:hAnsi="Arial" w:cs="Arial"/>
          <w:color w:val="1F1A17"/>
        </w:rPr>
        <w:t>sa’da</w:t>
      </w:r>
      <w:r w:rsidRPr="00E43688">
        <w:rPr>
          <w:rFonts w:ascii="Arial" w:hAnsi="Arial" w:cs="Arial"/>
          <w:color w:val="1F1A17"/>
        </w:rPr>
        <w:t>NovotelHotels</w:t>
      </w:r>
      <w:r>
        <w:rPr>
          <w:rFonts w:ascii="Arial" w:hAnsi="Arial" w:cs="Arial"/>
          <w:color w:val="1F1A17"/>
        </w:rPr>
        <w:t xml:space="preserve">ve </w:t>
      </w:r>
      <w:r w:rsidRPr="00E43688">
        <w:rPr>
          <w:rFonts w:ascii="Arial" w:hAnsi="Arial" w:cs="Arial"/>
          <w:color w:val="1F1A17"/>
        </w:rPr>
        <w:t>ClubMediterranean</w:t>
      </w:r>
      <w:r>
        <w:rPr>
          <w:rFonts w:ascii="Arial" w:hAnsi="Arial" w:cs="Arial"/>
          <w:color w:val="1F1A17"/>
        </w:rPr>
        <w:t xml:space="preserve"> dahil olmak üzere doğrudan yatırımları vardır.</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Dünya Seyahat ve Turizm Konseyi’ne göre ülkenin ekolojik turizm, teşvik ve kongre turizmi, macera seyahatleri, kayak tatilleri ve dini ve kültür turları gibi alternatifler geliştirmek için fırsatı vardır. Ayrıca Türkiye’de seyahat ve turizm sektöründe büyüme ve karda neredeyse ölçülemez potansiyel vardır.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32"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3536" behindDoc="1" locked="0" layoutInCell="0" allowOverlap="1">
            <wp:simplePos x="0" y="0"/>
            <wp:positionH relativeFrom="page">
              <wp:posOffset>0</wp:posOffset>
            </wp:positionH>
            <wp:positionV relativeFrom="page">
              <wp:posOffset>0</wp:posOffset>
            </wp:positionV>
            <wp:extent cx="7880350" cy="9446895"/>
            <wp:effectExtent l="0" t="0" r="0" b="0"/>
            <wp:wrapNone/>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41219" name="Picture 204"/>
                    <pic:cNvPicPr>
                      <a:picLocks noChangeAspect="1" noChangeArrowheads="1"/>
                    </pic:cNvPicPr>
                  </pic:nvPicPr>
                  <pic:blipFill>
                    <a:blip xmlns:r="http://schemas.openxmlformats.org/officeDocument/2006/relationships" r:embed="rId3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91" w:lineRule="exact"/>
        <w:rPr>
          <w:rFonts w:ascii="Times New Roman" w:hAnsi="Times New Roman"/>
          <w:sz w:val="24"/>
          <w:szCs w:val="24"/>
        </w:rPr>
      </w:pPr>
    </w:p>
    <w:p w:rsidR="00036A52" w:rsidRPr="00E43688" w:rsidP="00485EEA">
      <w:pPr>
        <w:widowControl w:val="0"/>
        <w:autoSpaceDE w:val="0"/>
        <w:autoSpaceDN w:val="0"/>
        <w:adjustRightInd w:val="0"/>
        <w:spacing w:after="0" w:line="240" w:lineRule="auto"/>
        <w:rPr>
          <w:rFonts w:ascii="Times New Roman" w:hAnsi="Times New Roman"/>
          <w:sz w:val="24"/>
          <w:szCs w:val="24"/>
        </w:rPr>
      </w:pPr>
      <w:r>
        <w:rPr>
          <w:rFonts w:ascii="Arial" w:hAnsi="Arial" w:cs="Arial"/>
          <w:color w:val="E87817"/>
          <w:sz w:val="26"/>
          <w:szCs w:val="26"/>
        </w:rPr>
        <w:t>Hindistan</w:t>
      </w: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2013 yılında Hindistan GSYİH’sine</w:t>
      </w:r>
      <w:r w:rsidR="0035258E">
        <w:rPr>
          <w:rFonts w:ascii="Arial" w:hAnsi="Arial" w:cs="Arial"/>
          <w:color w:val="1F1A17"/>
        </w:rPr>
        <w:t>(GSYİH= Gayrı Safi Yurt İçi Hasıla) doğrudan</w:t>
      </w:r>
      <w:r>
        <w:rPr>
          <w:rFonts w:ascii="Arial" w:hAnsi="Arial" w:cs="Arial"/>
          <w:color w:val="1F1A17"/>
        </w:rPr>
        <w:t xml:space="preserve"> katkısı </w:t>
      </w:r>
      <w:r w:rsidRPr="00E43688">
        <w:rPr>
          <w:rFonts w:ascii="Arial" w:hAnsi="Arial" w:cs="Arial"/>
          <w:color w:val="1F1A17"/>
        </w:rPr>
        <w:t xml:space="preserve">Rs. 2,178.1 </w:t>
      </w:r>
      <w:r>
        <w:rPr>
          <w:rFonts w:ascii="Arial" w:hAnsi="Arial" w:cs="Arial"/>
          <w:color w:val="1F1A17"/>
        </w:rPr>
        <w:t>milyardır.</w:t>
      </w:r>
      <w:r w:rsidRPr="00E43688">
        <w:rPr>
          <w:rFonts w:ascii="Arial" w:hAnsi="Arial" w:cs="Arial"/>
          <w:color w:val="1F1A17"/>
        </w:rPr>
        <w:t>(</w:t>
      </w:r>
      <w:r>
        <w:rPr>
          <w:rFonts w:ascii="Arial" w:hAnsi="Arial" w:cs="Arial"/>
          <w:color w:val="1F1A17"/>
        </w:rPr>
        <w:t>yaklaşık 35,7 milyar dolar)</w:t>
      </w:r>
      <w:r w:rsidRPr="00E43688">
        <w:rPr>
          <w:rFonts w:ascii="Arial" w:hAnsi="Arial" w:cs="Arial"/>
          <w:color w:val="1F1A17"/>
        </w:rPr>
        <w:t xml:space="preserve"> (</w:t>
      </w:r>
      <w:r>
        <w:rPr>
          <w:rFonts w:ascii="Arial" w:hAnsi="Arial" w:cs="Arial"/>
          <w:color w:val="1F1A17"/>
        </w:rPr>
        <w:t xml:space="preserve">GSYİH’nin %2’si); bunun 2014 yılında %7,5 artarak </w:t>
      </w:r>
      <w:r w:rsidRPr="00E43688">
        <w:rPr>
          <w:rFonts w:ascii="Arial" w:hAnsi="Arial" w:cs="Arial"/>
          <w:color w:val="1F1A17"/>
        </w:rPr>
        <w:t xml:space="preserve">Rs. 2,341.45 </w:t>
      </w:r>
      <w:r>
        <w:rPr>
          <w:rFonts w:ascii="Arial" w:hAnsi="Arial" w:cs="Arial"/>
          <w:color w:val="1F1A17"/>
        </w:rPr>
        <w:t>milyar olacağı</w:t>
      </w:r>
      <w:r w:rsidRPr="00E43688">
        <w:rPr>
          <w:rFonts w:ascii="Arial" w:hAnsi="Arial" w:cs="Arial"/>
          <w:color w:val="1F1A17"/>
        </w:rPr>
        <w:t xml:space="preserve"> (</w:t>
      </w:r>
      <w:r>
        <w:rPr>
          <w:rFonts w:ascii="Arial" w:hAnsi="Arial" w:cs="Arial"/>
          <w:color w:val="1F1A17"/>
        </w:rPr>
        <w:t>yaklaşık</w:t>
      </w:r>
      <w:r w:rsidRPr="00E43688">
        <w:rPr>
          <w:rFonts w:ascii="Arial" w:hAnsi="Arial" w:cs="Arial"/>
          <w:color w:val="1F1A17"/>
        </w:rPr>
        <w:t xml:space="preserve"> 38.38 </w:t>
      </w:r>
      <w:r>
        <w:rPr>
          <w:rFonts w:ascii="Arial" w:hAnsi="Arial" w:cs="Arial"/>
          <w:color w:val="1F1A17"/>
        </w:rPr>
        <w:t xml:space="preserve">milyar dolar) tahmin edilmektedir.2011 yılında Hindistan’a yerli turist ziyaret sayısı 864,53 iken,%19,9 büyüme oranı ile 2012’de bu sayı 1,036.3 milyona </w:t>
      </w:r>
      <w:r w:rsidR="00485EEA">
        <w:rPr>
          <w:rFonts w:ascii="Arial" w:hAnsi="Arial" w:cs="Arial"/>
          <w:color w:val="1F1A17"/>
        </w:rPr>
        <w:t xml:space="preserve">(muvakkat) </w:t>
      </w:r>
      <w:r>
        <w:rPr>
          <w:rFonts w:ascii="Arial" w:hAnsi="Arial" w:cs="Arial"/>
          <w:color w:val="1F1A17"/>
        </w:rPr>
        <w:t>yükselmiştir.</w:t>
      </w:r>
    </w:p>
    <w:p w:rsidR="00036A52" w:rsidRPr="00E43688" w:rsidP="00036A52">
      <w:pPr>
        <w:widowControl w:val="0"/>
        <w:autoSpaceDE w:val="0"/>
        <w:autoSpaceDN w:val="0"/>
        <w:adjustRightInd w:val="0"/>
        <w:spacing w:after="0" w:line="215" w:lineRule="exact"/>
        <w:rPr>
          <w:rFonts w:ascii="Times New Roman" w:hAnsi="Times New Roman"/>
          <w:sz w:val="24"/>
          <w:szCs w:val="24"/>
        </w:rPr>
      </w:pPr>
    </w:p>
    <w:p w:rsidR="00036A52" w:rsidRPr="00E43688" w:rsidP="00485EEA">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Turizm, Hindistan’da değerli taşlar, kuyumculuk ve hazır giyimden sonra en büyük 3. Döviz kaynağıdır</w:t>
      </w:r>
      <w:r w:rsidRPr="00E43688">
        <w:rPr>
          <w:rFonts w:ascii="Arial" w:hAnsi="Arial" w:cs="Arial"/>
          <w:color w:val="1F1A17"/>
        </w:rPr>
        <w:t xml:space="preserve">. </w:t>
      </w:r>
      <w:r>
        <w:rPr>
          <w:rFonts w:ascii="Arial" w:hAnsi="Arial" w:cs="Arial"/>
          <w:color w:val="1F1A17"/>
        </w:rPr>
        <w:t>2012 yılında turizmden döviz kazancı 17.74 milyar dolar iken, %2,2 büyüme kaydederek 2013 yılında 18.13 milyar dolar olmuştur</w:t>
      </w:r>
      <w:r w:rsidRPr="00E43688">
        <w:rPr>
          <w:rFonts w:ascii="Arial" w:hAnsi="Arial" w:cs="Arial"/>
          <w:color w:val="1F1A17"/>
        </w:rPr>
        <w:t xml:space="preserve">. </w:t>
      </w:r>
      <w:r>
        <w:rPr>
          <w:rFonts w:ascii="Arial" w:hAnsi="Arial" w:cs="Arial"/>
          <w:color w:val="1F1A17"/>
        </w:rPr>
        <w:t>Turizm büyük bir istihdam deposudur; turizm için yapılan her bir milyonluk yatırım 78 istihdam yaratır</w:t>
      </w:r>
      <w:r w:rsidRPr="00E43688">
        <w:rPr>
          <w:rFonts w:ascii="Arial" w:hAnsi="Arial" w:cs="Arial"/>
          <w:color w:val="1F1A17"/>
        </w:rPr>
        <w:t xml:space="preserve">. </w:t>
      </w:r>
      <w:r>
        <w:rPr>
          <w:rFonts w:ascii="Arial" w:hAnsi="Arial" w:cs="Arial"/>
          <w:color w:val="1F1A17"/>
        </w:rPr>
        <w:t>2011 döneminde yabancı turist ziyareti 6.31 milyon iken, %5,9 büyüme ile 2013 döneminde 6.97 milyon olmuştur</w:t>
      </w:r>
      <w:r w:rsidRPr="00E43688">
        <w:rPr>
          <w:rFonts w:ascii="Arial" w:hAnsi="Arial" w:cs="Arial"/>
          <w:color w:val="1F1A17"/>
        </w:rPr>
        <w:t>.</w:t>
      </w:r>
      <w:r>
        <w:rPr>
          <w:rFonts w:ascii="Arial" w:hAnsi="Arial" w:cs="Arial"/>
          <w:color w:val="1F1A17"/>
        </w:rPr>
        <w:t xml:space="preserve"> Hindistan, Birleşmiş Milletler Dünya Turizm Örgütü’nün yabancı turist ziyaret sayısı için yaptığı </w:t>
      </w:r>
      <w:r w:rsidR="0035258E">
        <w:rPr>
          <w:rFonts w:ascii="Arial" w:hAnsi="Arial" w:cs="Arial"/>
          <w:color w:val="1F1A17"/>
        </w:rPr>
        <w:t>sıralamada 42. sırada yer almaktadır</w:t>
      </w:r>
      <w:r>
        <w:rPr>
          <w:rFonts w:ascii="Arial" w:hAnsi="Arial" w:cs="Arial"/>
          <w:color w:val="1F1A17"/>
        </w:rPr>
        <w:t>. Dünyadaki turizm gelirleri içinde %1.56 pay ile Hindistan 16. sırada yer almaktadır.</w:t>
      </w:r>
    </w:p>
    <w:p w:rsidR="00036A52" w:rsidRPr="00E43688" w:rsidP="00485EEA">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Birleşmiş Milletler Dünya Turizm Örgütü (</w:t>
      </w:r>
      <w:r w:rsidRPr="00120CAB">
        <w:rPr>
          <w:rFonts w:ascii="Arial" w:hAnsi="Arial" w:cs="Arial"/>
          <w:color w:val="1F1A17"/>
        </w:rPr>
        <w:t>UNWTO</w:t>
      </w:r>
      <w:r>
        <w:rPr>
          <w:rFonts w:ascii="Arial" w:hAnsi="Arial" w:cs="Arial"/>
          <w:color w:val="1F1A17"/>
        </w:rPr>
        <w:t>)</w:t>
      </w:r>
      <w:r w:rsidRPr="00120CAB">
        <w:rPr>
          <w:rFonts w:ascii="Arial" w:hAnsi="Arial" w:cs="Arial"/>
          <w:color w:val="1F1A17"/>
        </w:rPr>
        <w:t xml:space="preserve"> Hindistan'da seyahat ve turizm endüstrisinin, 2008 ve 2016 arasında, reel olarak, yılda% 8 oranında büyüyeceği</w:t>
      </w:r>
      <w:r>
        <w:rPr>
          <w:rFonts w:ascii="Arial" w:hAnsi="Arial" w:cs="Arial"/>
          <w:color w:val="1F1A17"/>
        </w:rPr>
        <w:t>ni</w:t>
      </w:r>
      <w:r w:rsidRPr="00120CAB">
        <w:rPr>
          <w:rFonts w:ascii="Arial" w:hAnsi="Arial" w:cs="Arial"/>
          <w:color w:val="1F1A17"/>
        </w:rPr>
        <w:t xml:space="preserve"> tahmin etmiştir.</w:t>
      </w:r>
      <w:r>
        <w:rPr>
          <w:rFonts w:ascii="Arial" w:hAnsi="Arial" w:cs="Arial"/>
          <w:color w:val="1F1A17"/>
        </w:rPr>
        <w:t xml:space="preserve"> Turizmden döviz kazancının aynı dönemde yıllık %14 büyüme göstermesi muhtemeldir.</w:t>
      </w:r>
    </w:p>
    <w:p w:rsidR="00036A52" w:rsidRPr="00E43688" w:rsidP="00485EEA">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İstihdam ve ekonomik büyümeye turistin katkısının tanınmasını arttırma, daha iyi altyapının mevcut olması, odaklı pazarlama ve tanıtım çalışmaları, hava taşımacılığının serbestleştirilmesi, internet üzerinde seyahat portallarının büyümesi, bölge içi işbirliğini büyütme ve daha etkili satın alma gücü paritesi, sonraki 10 yıl için turizmde temel etkenler olarak görülmektedir.</w:t>
      </w:r>
    </w:p>
    <w:p w:rsidR="00036A52" w:rsidRPr="00E43688" w:rsidP="00485EEA">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 xml:space="preserve">Turizm Bakanlığı’nın </w:t>
      </w:r>
      <w:r w:rsidR="00485EEA">
        <w:rPr>
          <w:rFonts w:ascii="Arial" w:hAnsi="Arial" w:cs="Arial"/>
          <w:color w:val="1F1A17"/>
        </w:rPr>
        <w:t>yarısından fazlası, Hindistan Hükümetinin</w:t>
      </w:r>
      <w:r>
        <w:rPr>
          <w:rFonts w:ascii="Arial" w:hAnsi="Arial" w:cs="Arial"/>
          <w:color w:val="1F1A17"/>
        </w:rPr>
        <w:t xml:space="preserve"> plan bütçesi, hedef geliştirme, </w:t>
      </w:r>
      <w:r w:rsidR="00485EEA">
        <w:rPr>
          <w:rFonts w:ascii="Arial" w:hAnsi="Arial" w:cs="Arial"/>
          <w:color w:val="1F1A17"/>
        </w:rPr>
        <w:t>devreler, projeler</w:t>
      </w:r>
      <w:r>
        <w:rPr>
          <w:rFonts w:ascii="Arial" w:hAnsi="Arial" w:cs="Arial"/>
          <w:color w:val="1F1A17"/>
        </w:rPr>
        <w:t xml:space="preserve"> ve ayrıca kırsal turizm altyapı projeleri için fon kanalize eder. Bakanlık ayrıca, toplam yıllık planın 2013-2014 harcamasının sırasıyla %10 ve %2,5 ‘nin kuzey doğu bölgesi ve kabile bölgelerindeki turizm projelerine gittiğinden emin olmalıdır. Son zamanlarda, Hindistan hükümeti de yeni bir vize kategorisi piyasaya sunmuştur. Tıbbi vize ya da “M” vize olarak anılacak olan bu vize, özellikle Hindistan’da sağlık turizmini teşvik etmek için tasarlanmıştır.</w:t>
      </w:r>
    </w:p>
    <w:p w:rsidR="00036A52" w:rsidRPr="00E43688" w:rsidP="00036A52">
      <w:pPr>
        <w:widowControl w:val="0"/>
        <w:overflowPunct w:val="0"/>
        <w:autoSpaceDE w:val="0"/>
        <w:autoSpaceDN w:val="0"/>
        <w:adjustRightInd w:val="0"/>
        <w:spacing w:after="0" w:line="283" w:lineRule="auto"/>
        <w:jc w:val="both"/>
        <w:rPr>
          <w:rFonts w:ascii="Times New Roman" w:hAnsi="Times New Roman"/>
          <w:sz w:val="24"/>
          <w:szCs w:val="24"/>
        </w:rPr>
      </w:pPr>
      <w:r>
        <w:rPr>
          <w:rFonts w:ascii="Arial" w:hAnsi="Arial" w:cs="Arial"/>
          <w:color w:val="1F1A17"/>
        </w:rPr>
        <w:t>Turizm ve Otelcilikte %100 DYY (Dolaysız Yabancı Yatırım)’ye otomatik güzergâh altında, yürürlükteki yönetmeliklere ve kanunlara bağlı kalınacak şekilde izin verilir; %100 DYY’ye otellerin geliştirilmesi, tatil yerleri ve dinlence-eğlence tesisleri de dâhil olmak üzere turizm inşaat projeler</w:t>
      </w:r>
      <w:r w:rsidR="00FC4E45">
        <w:rPr>
          <w:rFonts w:ascii="Arial" w:hAnsi="Arial" w:cs="Arial"/>
          <w:color w:val="1F1A17"/>
        </w:rPr>
        <w:t>inde izin verilmektedir</w:t>
      </w:r>
      <w:r>
        <w:rPr>
          <w:rFonts w:ascii="Arial" w:hAnsi="Arial" w:cs="Arial"/>
          <w:color w:val="1F1A17"/>
        </w:rPr>
        <w:t>.</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4560" behindDoc="1" locked="0" layoutInCell="0" allowOverlap="1">
            <wp:simplePos x="0" y="0"/>
            <wp:positionH relativeFrom="page">
              <wp:posOffset>0</wp:posOffset>
            </wp:positionH>
            <wp:positionV relativeFrom="page">
              <wp:posOffset>377190</wp:posOffset>
            </wp:positionV>
            <wp:extent cx="7880350" cy="9897110"/>
            <wp:effectExtent l="0" t="0" r="0" b="0"/>
            <wp:wrapNone/>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69887" name="Picture 205"/>
                    <pic:cNvPicPr>
                      <a:picLocks noChangeAspect="1" noChangeArrowheads="1"/>
                    </pic:cNvPicPr>
                  </pic:nvPicPr>
                  <pic:blipFill>
                    <a:blip xmlns:r="http://schemas.openxmlformats.org/officeDocument/2006/relationships" r:embed="rId3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Ulusal Turizm Politikasının 2002 turizm sektöründe istihdam potansiyelini artırmak için hem de diğer sektörlerle bağlantıları geliştirerek ekonomik entegrasyonu teşvik etmek için bir vizyonu vardır; politika hedeflerinde turizm sektörünü ekonomik büyümenin önemli bir makinesi olarak konumlandırmak, Hindistan’ı bir dünya markası yapmak, özel sektörün kritik rolünü kabul etmek ve entegre turizm devreleri oluşturmak vardır.</w:t>
      </w:r>
    </w:p>
    <w:p w:rsidR="00036A52" w:rsidRPr="00E43688" w:rsidP="00036A52">
      <w:pPr>
        <w:widowControl w:val="0"/>
        <w:autoSpaceDE w:val="0"/>
        <w:autoSpaceDN w:val="0"/>
        <w:adjustRightInd w:val="0"/>
        <w:spacing w:after="0" w:line="256"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color w:val="FFFFFF"/>
          <w:sz w:val="20"/>
          <w:szCs w:val="20"/>
        </w:rPr>
        <w:t>Hindistan’daki Yabancı Yatırımcılar</w:t>
      </w:r>
    </w:p>
    <w:p w:rsidR="00036A52" w:rsidRPr="00E43688" w:rsidP="00036A52">
      <w:pPr>
        <w:widowControl w:val="0"/>
        <w:autoSpaceDE w:val="0"/>
        <w:autoSpaceDN w:val="0"/>
        <w:adjustRightInd w:val="0"/>
        <w:spacing w:after="0" w:line="26" w:lineRule="exact"/>
        <w:rPr>
          <w:rFonts w:ascii="Times New Roman" w:hAnsi="Times New Roman"/>
          <w:sz w:val="24"/>
          <w:szCs w:val="24"/>
        </w:rPr>
      </w:pPr>
    </w:p>
    <w:tbl>
      <w:tblPr>
        <w:tblW w:w="0" w:type="auto"/>
        <w:tblLayout w:type="fixed"/>
        <w:tblCellMar>
          <w:left w:w="0" w:type="dxa"/>
          <w:right w:w="0" w:type="dxa"/>
        </w:tblCellMar>
        <w:tblLook w:val="0000"/>
      </w:tblPr>
      <w:tblGrid>
        <w:gridCol w:w="3580"/>
        <w:gridCol w:w="4340"/>
      </w:tblGrid>
      <w:tr w:rsidTr="00036A52">
        <w:tblPrEx>
          <w:tblW w:w="0" w:type="auto"/>
          <w:tblLayout w:type="fixed"/>
          <w:tblCellMar>
            <w:left w:w="0" w:type="dxa"/>
            <w:right w:w="0" w:type="dxa"/>
          </w:tblCellMar>
          <w:tblLook w:val="0000"/>
        </w:tblPrEx>
        <w:trPr>
          <w:trHeight w:val="336"/>
        </w:trPr>
        <w:tc>
          <w:tcPr>
            <w:tcW w:w="35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Accor, France</w:t>
            </w:r>
          </w:p>
        </w:tc>
        <w:tc>
          <w:tcPr>
            <w:tcW w:w="43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040"/>
              <w:rPr>
                <w:rFonts w:ascii="Times New Roman" w:hAnsi="Times New Roman"/>
                <w:sz w:val="24"/>
                <w:szCs w:val="24"/>
              </w:rPr>
            </w:pPr>
            <w:r w:rsidRPr="00E43688">
              <w:rPr>
                <w:rFonts w:ascii="Arial" w:hAnsi="Arial" w:cs="Arial"/>
                <w:color w:val="1F1A17"/>
                <w:sz w:val="18"/>
                <w:szCs w:val="18"/>
              </w:rPr>
              <w:t>FourSeasons,Canada</w:t>
            </w:r>
          </w:p>
        </w:tc>
      </w:tr>
      <w:tr w:rsidTr="00036A52">
        <w:tblPrEx>
          <w:tblW w:w="0" w:type="auto"/>
          <w:tblLayout w:type="fixed"/>
          <w:tblCellMar>
            <w:left w:w="0" w:type="dxa"/>
            <w:right w:w="0" w:type="dxa"/>
          </w:tblCellMar>
          <w:tblLook w:val="0000"/>
        </w:tblPrEx>
        <w:trPr>
          <w:trHeight w:val="20"/>
        </w:trPr>
        <w:tc>
          <w:tcPr>
            <w:tcW w:w="358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c>
          <w:tcPr>
            <w:tcW w:w="434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98"/>
        </w:trPr>
        <w:tc>
          <w:tcPr>
            <w:tcW w:w="3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Starwood, USA</w:t>
            </w:r>
          </w:p>
        </w:tc>
        <w:tc>
          <w:tcPr>
            <w:tcW w:w="4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040"/>
              <w:rPr>
                <w:rFonts w:ascii="Times New Roman" w:hAnsi="Times New Roman"/>
                <w:sz w:val="24"/>
                <w:szCs w:val="24"/>
              </w:rPr>
            </w:pPr>
            <w:r w:rsidRPr="00E43688">
              <w:rPr>
                <w:rFonts w:ascii="Arial" w:hAnsi="Arial" w:cs="Arial"/>
                <w:color w:val="1F1A17"/>
                <w:sz w:val="18"/>
                <w:szCs w:val="18"/>
              </w:rPr>
              <w:t>Thomas Cook, UK</w:t>
            </w:r>
          </w:p>
        </w:tc>
      </w:tr>
      <w:tr w:rsidTr="00036A52">
        <w:tblPrEx>
          <w:tblW w:w="0" w:type="auto"/>
          <w:tblLayout w:type="fixed"/>
          <w:tblCellMar>
            <w:left w:w="0" w:type="dxa"/>
            <w:right w:w="0" w:type="dxa"/>
          </w:tblCellMar>
          <w:tblLook w:val="0000"/>
        </w:tblPrEx>
        <w:trPr>
          <w:trHeight w:val="39"/>
        </w:trPr>
        <w:tc>
          <w:tcPr>
            <w:tcW w:w="3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4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r>
      <w:tr w:rsidTr="00036A52">
        <w:tblPrEx>
          <w:tblW w:w="0" w:type="auto"/>
          <w:tblLayout w:type="fixed"/>
          <w:tblCellMar>
            <w:left w:w="0" w:type="dxa"/>
            <w:right w:w="0" w:type="dxa"/>
          </w:tblCellMar>
          <w:tblLook w:val="0000"/>
        </w:tblPrEx>
        <w:trPr>
          <w:trHeight w:val="336"/>
        </w:trPr>
        <w:tc>
          <w:tcPr>
            <w:tcW w:w="35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Marriott ,USA</w:t>
            </w:r>
          </w:p>
        </w:tc>
        <w:tc>
          <w:tcPr>
            <w:tcW w:w="43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040"/>
              <w:rPr>
                <w:rFonts w:ascii="Times New Roman" w:hAnsi="Times New Roman"/>
                <w:sz w:val="24"/>
                <w:szCs w:val="24"/>
              </w:rPr>
            </w:pPr>
            <w:r w:rsidRPr="00E43688">
              <w:rPr>
                <w:rFonts w:ascii="Arial" w:hAnsi="Arial" w:cs="Arial"/>
                <w:color w:val="1F1A17"/>
                <w:sz w:val="18"/>
                <w:szCs w:val="18"/>
              </w:rPr>
              <w:t>Expedia , UK</w:t>
            </w:r>
          </w:p>
        </w:tc>
      </w:tr>
      <w:tr w:rsidTr="00036A52">
        <w:tblPrEx>
          <w:tblW w:w="0" w:type="auto"/>
          <w:tblLayout w:type="fixed"/>
          <w:tblCellMar>
            <w:left w:w="0" w:type="dxa"/>
            <w:right w:w="0" w:type="dxa"/>
          </w:tblCellMar>
          <w:tblLook w:val="0000"/>
        </w:tblPrEx>
        <w:trPr>
          <w:trHeight w:val="305"/>
        </w:trPr>
        <w:tc>
          <w:tcPr>
            <w:tcW w:w="3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Premier Travel Inn, UK</w:t>
            </w:r>
          </w:p>
        </w:tc>
        <w:tc>
          <w:tcPr>
            <w:tcW w:w="4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040"/>
              <w:rPr>
                <w:rFonts w:ascii="Times New Roman" w:hAnsi="Times New Roman"/>
                <w:sz w:val="24"/>
                <w:szCs w:val="24"/>
              </w:rPr>
            </w:pPr>
            <w:r w:rsidRPr="00E43688">
              <w:rPr>
                <w:rFonts w:ascii="Arial" w:hAnsi="Arial" w:cs="Arial"/>
                <w:color w:val="1F1A17"/>
                <w:sz w:val="18"/>
                <w:szCs w:val="18"/>
              </w:rPr>
              <w:t>Cox&amp; Kings, UK</w:t>
            </w:r>
          </w:p>
        </w:tc>
      </w:tr>
      <w:tr w:rsidTr="00036A52">
        <w:tblPrEx>
          <w:tblW w:w="0" w:type="auto"/>
          <w:tblLayout w:type="fixed"/>
          <w:tblCellMar>
            <w:left w:w="0" w:type="dxa"/>
            <w:right w:w="0" w:type="dxa"/>
          </w:tblCellMar>
          <w:tblLook w:val="0000"/>
        </w:tblPrEx>
        <w:trPr>
          <w:trHeight w:val="52"/>
        </w:trPr>
        <w:tc>
          <w:tcPr>
            <w:tcW w:w="3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4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r>
      <w:tr w:rsidTr="00036A52">
        <w:tblPrEx>
          <w:tblW w:w="0" w:type="auto"/>
          <w:tblLayout w:type="fixed"/>
          <w:tblCellMar>
            <w:left w:w="0" w:type="dxa"/>
            <w:right w:w="0" w:type="dxa"/>
          </w:tblCellMar>
          <w:tblLook w:val="0000"/>
        </w:tblPrEx>
        <w:trPr>
          <w:trHeight w:val="298"/>
        </w:trPr>
        <w:tc>
          <w:tcPr>
            <w:tcW w:w="3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Mandarin Oriental, Hong Kong</w:t>
            </w:r>
          </w:p>
        </w:tc>
        <w:tc>
          <w:tcPr>
            <w:tcW w:w="43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040"/>
              <w:rPr>
                <w:rFonts w:ascii="Times New Roman" w:hAnsi="Times New Roman"/>
                <w:sz w:val="24"/>
                <w:szCs w:val="24"/>
              </w:rPr>
            </w:pPr>
            <w:r w:rsidRPr="00E43688">
              <w:rPr>
                <w:rFonts w:ascii="Arial" w:hAnsi="Arial" w:cs="Arial"/>
                <w:color w:val="1F1A17"/>
                <w:sz w:val="18"/>
                <w:szCs w:val="18"/>
              </w:rPr>
              <w:t>Jumeirah, UAE</w:t>
            </w:r>
          </w:p>
        </w:tc>
      </w:tr>
      <w:tr w:rsidTr="00036A52">
        <w:tblPrEx>
          <w:tblW w:w="0" w:type="auto"/>
          <w:tblLayout w:type="fixed"/>
          <w:tblCellMar>
            <w:left w:w="0" w:type="dxa"/>
            <w:right w:w="0" w:type="dxa"/>
          </w:tblCellMar>
          <w:tblLook w:val="0000"/>
        </w:tblPrEx>
        <w:trPr>
          <w:trHeight w:val="58"/>
        </w:trPr>
        <w:tc>
          <w:tcPr>
            <w:tcW w:w="3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43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bl>
    <w:p w:rsidR="00036A52" w:rsidRPr="00E43688" w:rsidP="00036A52">
      <w:pPr>
        <w:widowControl w:val="0"/>
        <w:autoSpaceDE w:val="0"/>
        <w:autoSpaceDN w:val="0"/>
        <w:adjustRightInd w:val="0"/>
        <w:spacing w:after="0" w:line="21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0A408A"/>
          <w:sz w:val="30"/>
          <w:szCs w:val="30"/>
        </w:rPr>
        <w:t>İnşaat ve Emlak Sektörü</w:t>
      </w:r>
    </w:p>
    <w:p w:rsidR="00036A52" w:rsidRPr="00E43688" w:rsidP="00036A52">
      <w:pPr>
        <w:widowControl w:val="0"/>
        <w:autoSpaceDE w:val="0"/>
        <w:autoSpaceDN w:val="0"/>
        <w:adjustRightInd w:val="0"/>
        <w:spacing w:after="0" w:line="21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E87817"/>
          <w:sz w:val="26"/>
          <w:szCs w:val="26"/>
        </w:rPr>
        <w:t>T</w:t>
      </w:r>
      <w:r>
        <w:rPr>
          <w:rFonts w:ascii="Arial" w:hAnsi="Arial" w:cs="Arial"/>
          <w:color w:val="E87817"/>
          <w:sz w:val="26"/>
          <w:szCs w:val="26"/>
        </w:rPr>
        <w:t>ürkiye</w:t>
      </w:r>
    </w:p>
    <w:p w:rsidR="00036A52" w:rsidRPr="00E43688" w:rsidP="00036A52">
      <w:pPr>
        <w:widowControl w:val="0"/>
        <w:autoSpaceDE w:val="0"/>
        <w:autoSpaceDN w:val="0"/>
        <w:adjustRightInd w:val="0"/>
        <w:spacing w:after="0" w:line="252" w:lineRule="exact"/>
        <w:rPr>
          <w:rFonts w:ascii="Times New Roman" w:hAnsi="Times New Roman"/>
          <w:sz w:val="24"/>
          <w:szCs w:val="24"/>
        </w:rPr>
      </w:pPr>
    </w:p>
    <w:p w:rsidR="00036A52" w:rsidRPr="00E217BD" w:rsidP="00036A52">
      <w:pPr>
        <w:widowControl w:val="0"/>
        <w:overflowPunct w:val="0"/>
        <w:autoSpaceDE w:val="0"/>
        <w:autoSpaceDN w:val="0"/>
        <w:adjustRightInd w:val="0"/>
        <w:spacing w:after="0" w:line="277" w:lineRule="auto"/>
        <w:jc w:val="both"/>
        <w:rPr>
          <w:rFonts w:ascii="Arial" w:hAnsi="Arial" w:cs="Arial"/>
          <w:color w:val="1F1A17"/>
        </w:rPr>
      </w:pPr>
      <w:r>
        <w:rPr>
          <w:rFonts w:ascii="Arial" w:hAnsi="Arial" w:cs="Arial"/>
          <w:color w:val="1F1A17"/>
        </w:rPr>
        <w:t>Türkiye İstatistik Kurumu (TÜİK) tarafından yayınlanan bir rapora göre Türkiye’de inşaat sektörü, 2009’daki %16,3’lük ani düşüşten sonra 2010 yılında %</w:t>
      </w:r>
      <w:r w:rsidR="00485EEA">
        <w:rPr>
          <w:rFonts w:ascii="Arial" w:hAnsi="Arial" w:cs="Arial"/>
          <w:color w:val="1F1A17"/>
        </w:rPr>
        <w:t xml:space="preserve"> 17,5 oranında büyümüştür</w:t>
      </w:r>
      <w:r>
        <w:rPr>
          <w:rFonts w:ascii="Arial" w:hAnsi="Arial" w:cs="Arial"/>
          <w:color w:val="1F1A17"/>
        </w:rPr>
        <w:t>. Sektör, Türkiye’de emlak sektörünü baltalayan, şehiriçi ulaşımdan şehirlerarası yollara, hidroelektrik barajlardan kanalizasyon sistemlerine birçok altyapı projelerine yapılan hükümet harcamalarında düşüşe sebep olan küresel durgunluktan kurtuluşuna paralel olarak devam etmektedir. Gayrimenkul Yatırım Ortaklıkları Derneği (GYODER), bir ticaret grubu olup, 2010 yılında inşaat sektöründeki piyasa büyüklüğünün 43,6 mil</w:t>
      </w:r>
      <w:r w:rsidR="00FC4E45">
        <w:rPr>
          <w:rFonts w:ascii="Arial" w:hAnsi="Arial" w:cs="Arial"/>
          <w:color w:val="1F1A17"/>
        </w:rPr>
        <w:t>yar dolar olduğu tahmin edilmektedir</w:t>
      </w:r>
      <w:r>
        <w:rPr>
          <w:rFonts w:ascii="Arial" w:hAnsi="Arial" w:cs="Arial"/>
          <w:color w:val="1F1A17"/>
        </w:rPr>
        <w:t>.</w:t>
      </w:r>
    </w:p>
    <w:p w:rsidR="00036A52" w:rsidRPr="00E43688" w:rsidP="00036A52">
      <w:pPr>
        <w:widowControl w:val="0"/>
        <w:autoSpaceDE w:val="0"/>
        <w:autoSpaceDN w:val="0"/>
        <w:adjustRightInd w:val="0"/>
        <w:spacing w:after="0" w:line="221"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Sektör, 1990’dan 2004’e kadar yıllık sabit bir %2,4lük ortalama ile büyürken, 2005 yılında %21,5, 2006 yılında %19,4 ve 2007 yılında da %5,7 büyüme göstermiştir. İnşaat sektörü 2009 yılında, Türkiye’nin GSYİH’nin %3,8’i oranında, 2006 yılındaki %5,3’ten daha düşük bir oranda, gerçekleşmiştir. Ekonomide sektörün payının önümüzdeki yıllarda artacağı tahmin edilmektedir.</w:t>
      </w:r>
    </w:p>
    <w:p w:rsidR="00036A52" w:rsidRPr="00E43688" w:rsidP="00036A52">
      <w:pPr>
        <w:widowControl w:val="0"/>
        <w:autoSpaceDE w:val="0"/>
        <w:autoSpaceDN w:val="0"/>
        <w:adjustRightInd w:val="0"/>
        <w:spacing w:after="0" w:line="222"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Konut Piyasası</w:t>
      </w:r>
    </w:p>
    <w:p w:rsidR="00036A52" w:rsidRPr="00E43688" w:rsidP="00036A52">
      <w:pPr>
        <w:widowControl w:val="0"/>
        <w:autoSpaceDE w:val="0"/>
        <w:autoSpaceDN w:val="0"/>
        <w:adjustRightInd w:val="0"/>
        <w:spacing w:after="0" w:line="263"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Türkiye kent merkezlerinde sosyal konut talebi, özellikle de Türkiye’nin en büyü</w:t>
      </w:r>
      <w:r w:rsidR="00FC4E45">
        <w:rPr>
          <w:rFonts w:ascii="Arial" w:hAnsi="Arial" w:cs="Arial"/>
          <w:color w:val="1F1A17"/>
        </w:rPr>
        <w:t>k şehri İstanbul’da devam etmektedir</w:t>
      </w:r>
      <w:r>
        <w:rPr>
          <w:rFonts w:ascii="Arial" w:hAnsi="Arial" w:cs="Arial"/>
          <w:color w:val="1F1A17"/>
        </w:rPr>
        <w:t>. Bunun sebepleri de; kırsal yerlerden göçmen akını, metropol sakinleri arasında yükselen gelir düzeyi, gelişen genç nüfus ve düşük maliyetli ipotek mevcudiyetidir. TÜİK’e göre ülkenin nüfusu yılda %</w:t>
      </w:r>
      <w:r w:rsidR="00485EEA">
        <w:rPr>
          <w:rFonts w:ascii="Arial" w:hAnsi="Arial" w:cs="Arial"/>
          <w:color w:val="1F1A17"/>
        </w:rPr>
        <w:t>1.6 artmaktadır</w:t>
      </w:r>
      <w:r>
        <w:rPr>
          <w:rFonts w:ascii="Arial" w:hAnsi="Arial" w:cs="Arial"/>
          <w:color w:val="1F1A17"/>
        </w:rPr>
        <w:t>, ancak Türkiye’nin batı ve güney şehirlerinde kırsal alanlardan gelen göçlerden dola</w:t>
      </w:r>
      <w:r w:rsidR="00FC4E45">
        <w:rPr>
          <w:rFonts w:ascii="Arial" w:hAnsi="Arial" w:cs="Arial"/>
          <w:color w:val="1F1A17"/>
        </w:rPr>
        <w:t>yı yılda %4 büyüme gerçekleşmektedir</w:t>
      </w:r>
      <w:r>
        <w:rPr>
          <w:rFonts w:ascii="Arial" w:hAnsi="Arial" w:cs="Arial"/>
          <w:color w:val="1F1A17"/>
        </w:rPr>
        <w:t>.</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5584" behindDoc="1" locked="0" layoutInCell="0" allowOverlap="1">
            <wp:simplePos x="0" y="0"/>
            <wp:positionH relativeFrom="page">
              <wp:posOffset>0</wp:posOffset>
            </wp:positionH>
            <wp:positionV relativeFrom="page">
              <wp:posOffset>0</wp:posOffset>
            </wp:positionV>
            <wp:extent cx="7880350" cy="9267825"/>
            <wp:effectExtent l="0" t="0" r="0" b="0"/>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6291" name="Picture 206"/>
                    <pic:cNvPicPr>
                      <a:picLocks noChangeAspect="1" noChangeArrowheads="1"/>
                    </pic:cNvPicPr>
                  </pic:nvPicPr>
                  <pic:blipFill>
                    <a:blip xmlns:r="http://schemas.openxmlformats.org/officeDocument/2006/relationships" r:embed="rId3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26782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7148">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GYODER</w:t>
      </w:r>
      <w:r w:rsidR="00037148">
        <w:rPr>
          <w:rFonts w:ascii="Arial" w:hAnsi="Arial" w:cs="Arial"/>
          <w:color w:val="1F1A17"/>
        </w:rPr>
        <w:t xml:space="preserve"> (Gayrı Menkul ve gayrı Menkul Yatırım Ortaklığı Derneği)</w:t>
      </w:r>
      <w:r>
        <w:rPr>
          <w:rFonts w:ascii="Arial" w:hAnsi="Arial" w:cs="Arial"/>
          <w:color w:val="1F1A17"/>
        </w:rPr>
        <w:t>, 2011 yılında yayınladığı bir raporda, Türkiye’nin 2015’e kadar 3,4 milyon konut birimi inşa etmesi gerektiğini hesap etmiştir. Raporun dediğine göre, 2015’te konut kredileri için gereksinim yılda 80.103 milyar dolar civarında olacaktır.Bu değer 2010’dan bu yana iki kattan fazla artış olduğunu göstermektedir.</w:t>
      </w:r>
      <w:r w:rsidRPr="00BC60DD">
        <w:rPr>
          <w:rFonts w:ascii="Arial" w:hAnsi="Arial" w:cs="Arial"/>
          <w:color w:val="1F1A17"/>
        </w:rPr>
        <w:t xml:space="preserve"> Bankalar Birliği</w:t>
      </w:r>
      <w:r>
        <w:rPr>
          <w:rFonts w:ascii="Arial" w:hAnsi="Arial" w:cs="Arial"/>
          <w:color w:val="1F1A17"/>
        </w:rPr>
        <w:t>’nin açıklamasına göre</w:t>
      </w:r>
      <w:r w:rsidRPr="00BC60DD">
        <w:rPr>
          <w:rFonts w:ascii="Arial" w:hAnsi="Arial" w:cs="Arial"/>
          <w:color w:val="1F1A17"/>
        </w:rPr>
        <w:t xml:space="preserve">2000 yılında, konut kredileri sadece ABD 961.654 </w:t>
      </w:r>
      <w:r w:rsidR="00FC4E45">
        <w:rPr>
          <w:rFonts w:ascii="Arial" w:hAnsi="Arial" w:cs="Arial"/>
          <w:color w:val="1F1A17"/>
        </w:rPr>
        <w:t>civarında kalmıştır</w:t>
      </w:r>
      <w:r>
        <w:rPr>
          <w:rFonts w:ascii="Arial" w:hAnsi="Arial" w:cs="Arial"/>
          <w:color w:val="1F1A17"/>
        </w:rPr>
        <w:t>.</w:t>
      </w:r>
    </w:p>
    <w:p w:rsidR="00036A52" w:rsidRPr="00E43688" w:rsidP="00037148">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Alışveriş Merkezleri ve Ticari Yapılar</w:t>
      </w:r>
    </w:p>
    <w:p w:rsidR="00036A52" w:rsidRPr="00E43688" w:rsidP="00037148">
      <w:pPr>
        <w:widowControl w:val="0"/>
        <w:overflowPunct w:val="0"/>
        <w:autoSpaceDE w:val="0"/>
        <w:autoSpaceDN w:val="0"/>
        <w:adjustRightInd w:val="0"/>
        <w:spacing w:after="0" w:line="258" w:lineRule="auto"/>
        <w:jc w:val="both"/>
        <w:rPr>
          <w:rFonts w:ascii="Times New Roman" w:hAnsi="Times New Roman"/>
          <w:sz w:val="24"/>
          <w:szCs w:val="24"/>
        </w:rPr>
      </w:pPr>
      <w:r>
        <w:rPr>
          <w:rFonts w:ascii="Arial" w:hAnsi="Arial" w:cs="Arial"/>
          <w:color w:val="1F1A17"/>
        </w:rPr>
        <w:t>Türkiye genelindeki şehirlerde, yeni Amerikan tarzı banliyölerin mantar gibi çoğaldıkları yerde, yeni ofis binaları ve alışveriş merkezleri yapımınd</w:t>
      </w:r>
      <w:r w:rsidR="00FC4E45">
        <w:rPr>
          <w:rFonts w:ascii="Arial" w:hAnsi="Arial" w:cs="Arial"/>
          <w:color w:val="1F1A17"/>
        </w:rPr>
        <w:t>a bir dalgalanma meydana gelmektedir</w:t>
      </w:r>
      <w:r>
        <w:rPr>
          <w:rFonts w:ascii="Arial" w:hAnsi="Arial" w:cs="Arial"/>
          <w:color w:val="1F1A17"/>
        </w:rPr>
        <w:t>. Bir küresel gayrimenkul hizmet grubu olan JonesLangLaSalle’ ye göre Türkiye’de Mart 2011 itibariyle 270 tane modern alışveriş merkezi vardı ve bundan başka 74 tanesi de yapım aşamasındaydı. Hatta bir zamanlar durgun olan Elazığ, Diyarbakır, Tatvan, Karabük, Kastamonu ve Sivas gibi Anadolu şehirlerinde şimdi gelişmekte olan alışveriş merkezleri vardır.</w:t>
      </w:r>
    </w:p>
    <w:p w:rsidR="00036A52" w:rsidRPr="00E43688" w:rsidP="00036A52">
      <w:pPr>
        <w:widowControl w:val="0"/>
        <w:autoSpaceDE w:val="0"/>
        <w:autoSpaceDN w:val="0"/>
        <w:adjustRightInd w:val="0"/>
        <w:spacing w:after="0" w:line="189" w:lineRule="exact"/>
        <w:rPr>
          <w:rFonts w:ascii="Times New Roman" w:hAnsi="Times New Roman"/>
          <w:sz w:val="24"/>
          <w:szCs w:val="24"/>
        </w:rPr>
      </w:pPr>
      <w:r w:rsidRPr="003E6B34">
        <w:rPr>
          <w:rFonts w:ascii="Arial" w:hAnsi="Arial" w:cs="Arial"/>
          <w:b/>
          <w:bCs/>
          <w:color w:val="E87817"/>
        </w:rPr>
        <w:t>31 Mart 2011 tarihi itibariyle Türkiye'de Alışveriş Merkezleri</w:t>
      </w:r>
    </w:p>
    <w:tbl>
      <w:tblPr>
        <w:tblW w:w="0" w:type="auto"/>
        <w:tblLayout w:type="fixed"/>
        <w:tblCellMar>
          <w:left w:w="0" w:type="dxa"/>
          <w:right w:w="0" w:type="dxa"/>
        </w:tblCellMar>
        <w:tblLook w:val="0000"/>
      </w:tblPr>
      <w:tblGrid>
        <w:gridCol w:w="2280"/>
        <w:gridCol w:w="2040"/>
        <w:gridCol w:w="2120"/>
        <w:gridCol w:w="1480"/>
      </w:tblGrid>
      <w:tr w:rsidTr="00036A52">
        <w:tblPrEx>
          <w:tblW w:w="0" w:type="auto"/>
          <w:tblLayout w:type="fixed"/>
          <w:tblCellMar>
            <w:left w:w="0" w:type="dxa"/>
            <w:right w:w="0" w:type="dxa"/>
          </w:tblCellMar>
          <w:tblLook w:val="0000"/>
        </w:tblPrEx>
        <w:trPr>
          <w:trHeight w:val="253"/>
        </w:trPr>
        <w:tc>
          <w:tcPr>
            <w:tcW w:w="22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4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700"/>
              <w:jc w:val="right"/>
              <w:rPr>
                <w:rFonts w:ascii="Times New Roman" w:hAnsi="Times New Roman"/>
                <w:sz w:val="24"/>
                <w:szCs w:val="24"/>
              </w:rPr>
            </w:pPr>
            <w:r w:rsidRPr="00E43688">
              <w:rPr>
                <w:rFonts w:ascii="Arial" w:hAnsi="Arial" w:cs="Arial"/>
                <w:b/>
                <w:bCs/>
                <w:color w:val="FFFFFF"/>
                <w:sz w:val="16"/>
                <w:szCs w:val="16"/>
              </w:rPr>
              <w:t>İstanbul</w:t>
            </w:r>
          </w:p>
        </w:tc>
        <w:tc>
          <w:tcPr>
            <w:tcW w:w="212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620"/>
              <w:jc w:val="right"/>
              <w:rPr>
                <w:rFonts w:ascii="Times New Roman" w:hAnsi="Times New Roman"/>
                <w:sz w:val="24"/>
                <w:szCs w:val="24"/>
              </w:rPr>
            </w:pPr>
            <w:r w:rsidRPr="00E43688">
              <w:rPr>
                <w:rFonts w:ascii="Arial" w:hAnsi="Arial" w:cs="Arial"/>
                <w:b/>
                <w:bCs/>
                <w:color w:val="FFFFFF"/>
                <w:sz w:val="16"/>
                <w:szCs w:val="16"/>
              </w:rPr>
              <w:t>Ana</w:t>
            </w:r>
            <w:r>
              <w:rPr>
                <w:rFonts w:ascii="Arial" w:hAnsi="Arial" w:cs="Arial"/>
                <w:b/>
                <w:bCs/>
                <w:color w:val="FFFFFF"/>
                <w:sz w:val="16"/>
                <w:szCs w:val="16"/>
              </w:rPr>
              <w:t>dolu</w:t>
            </w:r>
          </w:p>
        </w:tc>
        <w:tc>
          <w:tcPr>
            <w:tcW w:w="14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b/>
                <w:bCs/>
                <w:color w:val="FFFFFF"/>
                <w:sz w:val="16"/>
                <w:szCs w:val="16"/>
              </w:rPr>
              <w:t>To</w:t>
            </w:r>
            <w:r>
              <w:rPr>
                <w:rFonts w:ascii="Arial" w:hAnsi="Arial" w:cs="Arial"/>
                <w:b/>
                <w:bCs/>
                <w:color w:val="FFFFFF"/>
                <w:sz w:val="16"/>
                <w:szCs w:val="16"/>
              </w:rPr>
              <w:t>plam</w:t>
            </w:r>
          </w:p>
        </w:tc>
      </w:tr>
      <w:tr w:rsidTr="00036A52">
        <w:tblPrEx>
          <w:tblW w:w="0" w:type="auto"/>
          <w:tblLayout w:type="fixed"/>
          <w:tblCellMar>
            <w:left w:w="0" w:type="dxa"/>
            <w:right w:w="0" w:type="dxa"/>
          </w:tblCellMar>
          <w:tblLook w:val="0000"/>
        </w:tblPrEx>
        <w:trPr>
          <w:trHeight w:val="63"/>
        </w:trPr>
        <w:tc>
          <w:tcPr>
            <w:tcW w:w="22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4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12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14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74"/>
        </w:trPr>
        <w:tc>
          <w:tcPr>
            <w:tcW w:w="22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color w:val="1F1A17"/>
                <w:sz w:val="16"/>
                <w:szCs w:val="16"/>
              </w:rPr>
              <w:t>Var Olan</w:t>
            </w:r>
          </w:p>
        </w:tc>
        <w:tc>
          <w:tcPr>
            <w:tcW w:w="20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700"/>
              <w:jc w:val="right"/>
              <w:rPr>
                <w:rFonts w:ascii="Times New Roman" w:hAnsi="Times New Roman"/>
                <w:sz w:val="24"/>
                <w:szCs w:val="24"/>
              </w:rPr>
            </w:pPr>
            <w:r w:rsidRPr="00E43688">
              <w:rPr>
                <w:rFonts w:ascii="Arial" w:hAnsi="Arial" w:cs="Arial"/>
                <w:color w:val="1F1A17"/>
                <w:sz w:val="16"/>
                <w:szCs w:val="16"/>
              </w:rPr>
              <w:t>96</w:t>
            </w:r>
          </w:p>
        </w:tc>
        <w:tc>
          <w:tcPr>
            <w:tcW w:w="2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620"/>
              <w:jc w:val="right"/>
              <w:rPr>
                <w:rFonts w:ascii="Times New Roman" w:hAnsi="Times New Roman"/>
                <w:sz w:val="24"/>
                <w:szCs w:val="24"/>
              </w:rPr>
            </w:pPr>
            <w:r w:rsidRPr="00E43688">
              <w:rPr>
                <w:rFonts w:ascii="Arial" w:hAnsi="Arial" w:cs="Arial"/>
                <w:color w:val="1F1A17"/>
                <w:sz w:val="16"/>
                <w:szCs w:val="16"/>
              </w:rPr>
              <w:t>174</w:t>
            </w: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color w:val="1F1A17"/>
                <w:sz w:val="16"/>
                <w:szCs w:val="16"/>
              </w:rPr>
              <w:t>270</w:t>
            </w:r>
          </w:p>
        </w:tc>
      </w:tr>
      <w:tr w:rsidTr="00036A52">
        <w:tblPrEx>
          <w:tblW w:w="0" w:type="auto"/>
          <w:tblLayout w:type="fixed"/>
          <w:tblCellMar>
            <w:left w:w="0" w:type="dxa"/>
            <w:right w:w="0" w:type="dxa"/>
          </w:tblCellMar>
          <w:tblLook w:val="0000"/>
        </w:tblPrEx>
        <w:trPr>
          <w:trHeight w:val="82"/>
        </w:trPr>
        <w:tc>
          <w:tcPr>
            <w:tcW w:w="22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20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2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r w:rsidTr="00036A52">
        <w:tblPrEx>
          <w:tblW w:w="0" w:type="auto"/>
          <w:tblLayout w:type="fixed"/>
          <w:tblCellMar>
            <w:left w:w="0" w:type="dxa"/>
            <w:right w:w="0" w:type="dxa"/>
          </w:tblCellMar>
          <w:tblLook w:val="0000"/>
        </w:tblPrEx>
        <w:trPr>
          <w:trHeight w:val="274"/>
        </w:trPr>
        <w:tc>
          <w:tcPr>
            <w:tcW w:w="2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color w:val="1F1A17"/>
                <w:sz w:val="16"/>
                <w:szCs w:val="16"/>
              </w:rPr>
              <w:t>Yapım Aşamasında</w:t>
            </w:r>
          </w:p>
        </w:tc>
        <w:tc>
          <w:tcPr>
            <w:tcW w:w="2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700"/>
              <w:jc w:val="right"/>
              <w:rPr>
                <w:rFonts w:ascii="Times New Roman" w:hAnsi="Times New Roman"/>
                <w:sz w:val="24"/>
                <w:szCs w:val="24"/>
              </w:rPr>
            </w:pPr>
            <w:r w:rsidRPr="00E43688">
              <w:rPr>
                <w:rFonts w:ascii="Arial" w:hAnsi="Arial" w:cs="Arial"/>
                <w:color w:val="1F1A17"/>
                <w:sz w:val="16"/>
                <w:szCs w:val="16"/>
              </w:rPr>
              <w:t>28</w:t>
            </w:r>
          </w:p>
        </w:tc>
        <w:tc>
          <w:tcPr>
            <w:tcW w:w="2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620"/>
              <w:jc w:val="right"/>
              <w:rPr>
                <w:rFonts w:ascii="Times New Roman" w:hAnsi="Times New Roman"/>
                <w:sz w:val="24"/>
                <w:szCs w:val="24"/>
              </w:rPr>
            </w:pPr>
            <w:r w:rsidRPr="00E43688">
              <w:rPr>
                <w:rFonts w:ascii="Arial" w:hAnsi="Arial" w:cs="Arial"/>
                <w:color w:val="1F1A17"/>
                <w:sz w:val="16"/>
                <w:szCs w:val="16"/>
              </w:rPr>
              <w:t>46</w:t>
            </w:r>
          </w:p>
        </w:tc>
        <w:tc>
          <w:tcPr>
            <w:tcW w:w="1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color w:val="1F1A17"/>
                <w:sz w:val="16"/>
                <w:szCs w:val="16"/>
              </w:rPr>
              <w:t>74</w:t>
            </w:r>
          </w:p>
        </w:tc>
      </w:tr>
      <w:tr w:rsidTr="00036A52">
        <w:tblPrEx>
          <w:tblW w:w="0" w:type="auto"/>
          <w:tblLayout w:type="fixed"/>
          <w:tblCellMar>
            <w:left w:w="0" w:type="dxa"/>
            <w:right w:w="0" w:type="dxa"/>
          </w:tblCellMar>
          <w:tblLook w:val="0000"/>
        </w:tblPrEx>
        <w:trPr>
          <w:trHeight w:val="52"/>
        </w:trPr>
        <w:tc>
          <w:tcPr>
            <w:tcW w:w="2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1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r>
      <w:tr w:rsidTr="00036A52">
        <w:tblPrEx>
          <w:tblW w:w="0" w:type="auto"/>
          <w:tblLayout w:type="fixed"/>
          <w:tblCellMar>
            <w:left w:w="0" w:type="dxa"/>
            <w:right w:w="0" w:type="dxa"/>
          </w:tblCellMar>
          <w:tblLook w:val="0000"/>
        </w:tblPrEx>
        <w:trPr>
          <w:trHeight w:val="30"/>
        </w:trPr>
        <w:tc>
          <w:tcPr>
            <w:tcW w:w="2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1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73"/>
        </w:trPr>
        <w:tc>
          <w:tcPr>
            <w:tcW w:w="22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sidRPr="00E43688">
              <w:rPr>
                <w:rFonts w:ascii="Arial" w:hAnsi="Arial" w:cs="Arial"/>
                <w:b/>
                <w:bCs/>
                <w:color w:val="1F1A17"/>
                <w:sz w:val="16"/>
                <w:szCs w:val="16"/>
              </w:rPr>
              <w:t>To</w:t>
            </w:r>
            <w:r>
              <w:rPr>
                <w:rFonts w:ascii="Arial" w:hAnsi="Arial" w:cs="Arial"/>
                <w:b/>
                <w:bCs/>
                <w:color w:val="1F1A17"/>
                <w:sz w:val="16"/>
                <w:szCs w:val="16"/>
              </w:rPr>
              <w:t>plam</w:t>
            </w:r>
          </w:p>
        </w:tc>
        <w:tc>
          <w:tcPr>
            <w:tcW w:w="20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700"/>
              <w:jc w:val="right"/>
              <w:rPr>
                <w:rFonts w:ascii="Times New Roman" w:hAnsi="Times New Roman"/>
                <w:sz w:val="24"/>
                <w:szCs w:val="24"/>
              </w:rPr>
            </w:pPr>
            <w:r w:rsidRPr="00E43688">
              <w:rPr>
                <w:rFonts w:ascii="Arial" w:hAnsi="Arial" w:cs="Arial"/>
                <w:b/>
                <w:bCs/>
                <w:color w:val="1F1A17"/>
                <w:sz w:val="16"/>
                <w:szCs w:val="16"/>
              </w:rPr>
              <w:t>124</w:t>
            </w:r>
          </w:p>
        </w:tc>
        <w:tc>
          <w:tcPr>
            <w:tcW w:w="2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620"/>
              <w:jc w:val="right"/>
              <w:rPr>
                <w:rFonts w:ascii="Times New Roman" w:hAnsi="Times New Roman"/>
                <w:sz w:val="24"/>
                <w:szCs w:val="24"/>
              </w:rPr>
            </w:pPr>
            <w:r w:rsidRPr="00E43688">
              <w:rPr>
                <w:rFonts w:ascii="Arial" w:hAnsi="Arial" w:cs="Arial"/>
                <w:b/>
                <w:bCs/>
                <w:color w:val="1F1A17"/>
                <w:sz w:val="16"/>
                <w:szCs w:val="16"/>
              </w:rPr>
              <w:t>220</w:t>
            </w: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b/>
                <w:bCs/>
                <w:color w:val="1F1A17"/>
                <w:sz w:val="16"/>
                <w:szCs w:val="16"/>
              </w:rPr>
              <w:t>344</w:t>
            </w:r>
          </w:p>
        </w:tc>
      </w:tr>
      <w:tr w:rsidTr="00036A52">
        <w:tblPrEx>
          <w:tblW w:w="0" w:type="auto"/>
          <w:tblLayout w:type="fixed"/>
          <w:tblCellMar>
            <w:left w:w="0" w:type="dxa"/>
            <w:right w:w="0" w:type="dxa"/>
          </w:tblCellMar>
          <w:tblLook w:val="0000"/>
        </w:tblPrEx>
        <w:trPr>
          <w:trHeight w:val="84"/>
        </w:trPr>
        <w:tc>
          <w:tcPr>
            <w:tcW w:w="22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20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21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bl>
    <w:p w:rsidR="00036A52" w:rsidRPr="00E43688" w:rsidP="00036A52">
      <w:pPr>
        <w:widowControl w:val="0"/>
        <w:autoSpaceDE w:val="0"/>
        <w:autoSpaceDN w:val="0"/>
        <w:adjustRightInd w:val="0"/>
        <w:spacing w:after="0" w:line="11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6"/>
          <w:szCs w:val="16"/>
        </w:rPr>
        <w:t>* To</w:t>
      </w:r>
      <w:r>
        <w:rPr>
          <w:rFonts w:ascii="Arial" w:hAnsi="Arial" w:cs="Arial"/>
          <w:color w:val="1F1A17"/>
          <w:sz w:val="16"/>
          <w:szCs w:val="16"/>
        </w:rPr>
        <w:t>plam ve 2013 tahmini</w:t>
      </w:r>
    </w:p>
    <w:p w:rsidR="00036A52" w:rsidRPr="00E43688" w:rsidP="00036A52">
      <w:pPr>
        <w:widowControl w:val="0"/>
        <w:autoSpaceDE w:val="0"/>
        <w:autoSpaceDN w:val="0"/>
        <w:adjustRightInd w:val="0"/>
        <w:spacing w:after="0" w:line="162"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w:t>
      </w:r>
      <w:r w:rsidRPr="00E43688">
        <w:rPr>
          <w:rFonts w:ascii="Arial" w:hAnsi="Arial" w:cs="Arial"/>
          <w:i/>
          <w:iCs/>
          <w:color w:val="1F1A17"/>
          <w:sz w:val="16"/>
          <w:szCs w:val="16"/>
        </w:rPr>
        <w:t>: JonesLangLasalle</w:t>
      </w:r>
    </w:p>
    <w:p w:rsidR="00036A52" w:rsidRPr="00E43688" w:rsidP="00036A52">
      <w:pPr>
        <w:widowControl w:val="0"/>
        <w:autoSpaceDE w:val="0"/>
        <w:autoSpaceDN w:val="0"/>
        <w:adjustRightInd w:val="0"/>
        <w:spacing w:after="0" w:line="31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Türk Alışveriş Merkezlerinde Kiralanabilir Alan</w:t>
      </w:r>
      <w:r w:rsidRPr="00E43688">
        <w:rPr>
          <w:rFonts w:ascii="Arial" w:hAnsi="Arial" w:cs="Arial"/>
          <w:b/>
          <w:bCs/>
          <w:color w:val="E87817"/>
        </w:rPr>
        <w:t>(M</w:t>
      </w:r>
      <w:r w:rsidRPr="00E43688">
        <w:rPr>
          <w:rFonts w:ascii="Arial" w:hAnsi="Arial" w:cs="Arial"/>
          <w:b/>
          <w:bCs/>
          <w:color w:val="E87817"/>
          <w:vertAlign w:val="superscript"/>
        </w:rPr>
        <w:t>2</w:t>
      </w:r>
      <w:r w:rsidRPr="00E43688">
        <w:rPr>
          <w:rFonts w:ascii="Arial" w:hAnsi="Arial" w:cs="Arial"/>
          <w:b/>
          <w:bCs/>
          <w:color w:val="E87817"/>
        </w:rPr>
        <w:t>)</w:t>
      </w:r>
    </w:p>
    <w:p w:rsidR="00036A52" w:rsidRPr="00E43688" w:rsidP="00036A52">
      <w:pPr>
        <w:widowControl w:val="0"/>
        <w:autoSpaceDE w:val="0"/>
        <w:autoSpaceDN w:val="0"/>
        <w:adjustRightInd w:val="0"/>
        <w:spacing w:after="0" w:line="226" w:lineRule="exact"/>
        <w:rPr>
          <w:rFonts w:ascii="Times New Roman" w:hAnsi="Times New Roman"/>
          <w:sz w:val="24"/>
          <w:szCs w:val="24"/>
        </w:rPr>
      </w:pPr>
    </w:p>
    <w:tbl>
      <w:tblPr>
        <w:tblW w:w="0" w:type="auto"/>
        <w:tblLayout w:type="fixed"/>
        <w:tblCellMar>
          <w:left w:w="0" w:type="dxa"/>
          <w:right w:w="0" w:type="dxa"/>
        </w:tblCellMar>
        <w:tblLook w:val="0000"/>
      </w:tblPr>
      <w:tblGrid>
        <w:gridCol w:w="1060"/>
        <w:gridCol w:w="1220"/>
        <w:gridCol w:w="1180"/>
        <w:gridCol w:w="1180"/>
        <w:gridCol w:w="1800"/>
        <w:gridCol w:w="1480"/>
      </w:tblGrid>
      <w:tr w:rsidTr="00036A52">
        <w:tblPrEx>
          <w:tblW w:w="0" w:type="auto"/>
          <w:tblLayout w:type="fixed"/>
          <w:tblCellMar>
            <w:left w:w="0" w:type="dxa"/>
            <w:right w:w="0" w:type="dxa"/>
          </w:tblCellMar>
          <w:tblLook w:val="0000"/>
        </w:tblPrEx>
        <w:trPr>
          <w:trHeight w:val="250"/>
        </w:trPr>
        <w:tc>
          <w:tcPr>
            <w:tcW w:w="106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21"/>
                <w:szCs w:val="21"/>
              </w:rPr>
            </w:pPr>
          </w:p>
        </w:tc>
        <w:tc>
          <w:tcPr>
            <w:tcW w:w="122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b/>
                <w:bCs/>
                <w:color w:val="FFFFFF"/>
                <w:sz w:val="16"/>
                <w:szCs w:val="16"/>
              </w:rPr>
              <w:t>2009</w:t>
            </w: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b/>
                <w:bCs/>
                <w:color w:val="FFFFFF"/>
                <w:sz w:val="16"/>
                <w:szCs w:val="16"/>
              </w:rPr>
              <w:t>2010</w:t>
            </w: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b/>
                <w:bCs/>
                <w:color w:val="FFFFFF"/>
                <w:sz w:val="16"/>
                <w:szCs w:val="16"/>
              </w:rPr>
              <w:t>2011</w:t>
            </w:r>
          </w:p>
        </w:tc>
        <w:tc>
          <w:tcPr>
            <w:tcW w:w="180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200"/>
              <w:jc w:val="right"/>
              <w:rPr>
                <w:rFonts w:ascii="Times New Roman" w:hAnsi="Times New Roman"/>
                <w:sz w:val="24"/>
                <w:szCs w:val="24"/>
              </w:rPr>
            </w:pPr>
            <w:r>
              <w:rPr>
                <w:rFonts w:ascii="Arial" w:hAnsi="Arial" w:cs="Arial"/>
                <w:b/>
                <w:bCs/>
                <w:color w:val="FFFFFF"/>
                <w:sz w:val="16"/>
                <w:szCs w:val="16"/>
              </w:rPr>
              <w:t xml:space="preserve">YAPIM </w:t>
            </w:r>
          </w:p>
        </w:tc>
        <w:tc>
          <w:tcPr>
            <w:tcW w:w="14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260"/>
              <w:jc w:val="right"/>
              <w:rPr>
                <w:rFonts w:ascii="Times New Roman" w:hAnsi="Times New Roman"/>
                <w:sz w:val="24"/>
                <w:szCs w:val="24"/>
              </w:rPr>
            </w:pPr>
            <w:r>
              <w:rPr>
                <w:rFonts w:ascii="Arial" w:hAnsi="Arial" w:cs="Arial"/>
                <w:b/>
                <w:bCs/>
                <w:color w:val="FFFFFF"/>
                <w:sz w:val="16"/>
                <w:szCs w:val="16"/>
              </w:rPr>
              <w:t>2013</w:t>
            </w:r>
          </w:p>
        </w:tc>
      </w:tr>
      <w:tr w:rsidTr="00036A52">
        <w:tblPrEx>
          <w:tblW w:w="0" w:type="auto"/>
          <w:tblLayout w:type="fixed"/>
          <w:tblCellMar>
            <w:left w:w="0" w:type="dxa"/>
            <w:right w:w="0" w:type="dxa"/>
          </w:tblCellMar>
          <w:tblLook w:val="0000"/>
        </w:tblPrEx>
        <w:trPr>
          <w:trHeight w:val="198"/>
        </w:trPr>
        <w:tc>
          <w:tcPr>
            <w:tcW w:w="106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17"/>
                <w:szCs w:val="17"/>
              </w:rPr>
            </w:pPr>
          </w:p>
        </w:tc>
        <w:tc>
          <w:tcPr>
            <w:tcW w:w="122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17"/>
                <w:szCs w:val="17"/>
              </w:rPr>
            </w:pP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17"/>
                <w:szCs w:val="17"/>
              </w:rPr>
            </w:pP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b/>
                <w:bCs/>
                <w:color w:val="FFFFFF"/>
                <w:sz w:val="16"/>
                <w:szCs w:val="16"/>
              </w:rPr>
              <w:t>MA</w:t>
            </w:r>
            <w:r>
              <w:rPr>
                <w:rFonts w:ascii="Arial" w:hAnsi="Arial" w:cs="Arial"/>
                <w:b/>
                <w:bCs/>
                <w:color w:val="FFFFFF"/>
                <w:sz w:val="16"/>
                <w:szCs w:val="16"/>
              </w:rPr>
              <w:t>T</w:t>
            </w:r>
          </w:p>
        </w:tc>
        <w:tc>
          <w:tcPr>
            <w:tcW w:w="180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200"/>
              <w:jc w:val="right"/>
              <w:rPr>
                <w:rFonts w:ascii="Times New Roman" w:hAnsi="Times New Roman"/>
                <w:sz w:val="24"/>
                <w:szCs w:val="24"/>
              </w:rPr>
            </w:pPr>
            <w:r>
              <w:rPr>
                <w:rFonts w:ascii="Arial" w:hAnsi="Arial" w:cs="Arial"/>
                <w:b/>
                <w:bCs/>
                <w:color w:val="FFFFFF"/>
                <w:sz w:val="16"/>
                <w:szCs w:val="16"/>
              </w:rPr>
              <w:t>AŞAMASINDA</w:t>
            </w:r>
          </w:p>
        </w:tc>
        <w:tc>
          <w:tcPr>
            <w:tcW w:w="14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ind w:right="260"/>
              <w:jc w:val="right"/>
              <w:rPr>
                <w:rFonts w:ascii="Times New Roman" w:hAnsi="Times New Roman"/>
                <w:sz w:val="24"/>
                <w:szCs w:val="24"/>
              </w:rPr>
            </w:pPr>
            <w:r>
              <w:rPr>
                <w:rFonts w:ascii="Arial" w:hAnsi="Arial" w:cs="Arial"/>
                <w:b/>
                <w:bCs/>
                <w:color w:val="FFFFFF"/>
                <w:sz w:val="16"/>
                <w:szCs w:val="16"/>
              </w:rPr>
              <w:t>YIL SONU</w:t>
            </w:r>
          </w:p>
        </w:tc>
      </w:tr>
      <w:tr w:rsidTr="00036A52">
        <w:tblPrEx>
          <w:tblW w:w="0" w:type="auto"/>
          <w:tblLayout w:type="fixed"/>
          <w:tblCellMar>
            <w:left w:w="0" w:type="dxa"/>
            <w:right w:w="0" w:type="dxa"/>
          </w:tblCellMar>
          <w:tblLook w:val="0000"/>
        </w:tblPrEx>
        <w:trPr>
          <w:trHeight w:val="74"/>
        </w:trPr>
        <w:tc>
          <w:tcPr>
            <w:tcW w:w="106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22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1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80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480" w:type="dxa"/>
            <w:tcBorders>
              <w:top w:val="nil"/>
              <w:left w:val="nil"/>
              <w:bottom w:val="nil"/>
              <w:right w:val="nil"/>
            </w:tcBorders>
            <w:shd w:val="clear" w:color="auto" w:fill="E87817"/>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r>
      <w:tr w:rsidTr="00036A52">
        <w:tblPrEx>
          <w:tblW w:w="0" w:type="auto"/>
          <w:tblLayout w:type="fixed"/>
          <w:tblCellMar>
            <w:left w:w="0" w:type="dxa"/>
            <w:right w:w="0" w:type="dxa"/>
          </w:tblCellMar>
          <w:tblLook w:val="0000"/>
        </w:tblPrEx>
        <w:trPr>
          <w:trHeight w:val="273"/>
        </w:trPr>
        <w:tc>
          <w:tcPr>
            <w:tcW w:w="106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sidRPr="00E43688">
              <w:rPr>
                <w:rFonts w:ascii="Arial" w:hAnsi="Arial" w:cs="Arial"/>
                <w:color w:val="1F1A17"/>
                <w:sz w:val="16"/>
                <w:szCs w:val="16"/>
              </w:rPr>
              <w:t>Istanbul</w:t>
            </w:r>
          </w:p>
        </w:tc>
        <w:tc>
          <w:tcPr>
            <w:tcW w:w="1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color w:val="1F1A17"/>
                <w:sz w:val="16"/>
                <w:szCs w:val="16"/>
              </w:rPr>
              <w:t>2.280.000</w:t>
            </w: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color w:val="1F1A17"/>
                <w:sz w:val="16"/>
                <w:szCs w:val="16"/>
              </w:rPr>
              <w:t>2.650.000</w:t>
            </w: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color w:val="1F1A17"/>
                <w:sz w:val="16"/>
                <w:szCs w:val="16"/>
              </w:rPr>
              <w:t>2.850.000</w:t>
            </w:r>
          </w:p>
        </w:tc>
        <w:tc>
          <w:tcPr>
            <w:tcW w:w="18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color w:val="1F1A17"/>
                <w:sz w:val="16"/>
                <w:szCs w:val="16"/>
              </w:rPr>
              <w:t>1.020.000</w:t>
            </w: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240"/>
              <w:jc w:val="right"/>
              <w:rPr>
                <w:rFonts w:ascii="Times New Roman" w:hAnsi="Times New Roman"/>
                <w:sz w:val="24"/>
                <w:szCs w:val="24"/>
              </w:rPr>
            </w:pPr>
            <w:r w:rsidRPr="00E43688">
              <w:rPr>
                <w:rFonts w:ascii="Arial" w:hAnsi="Arial" w:cs="Arial"/>
                <w:color w:val="1F1A17"/>
                <w:sz w:val="16"/>
                <w:szCs w:val="16"/>
              </w:rPr>
              <w:t>3.870.000</w:t>
            </w:r>
          </w:p>
        </w:tc>
      </w:tr>
      <w:tr w:rsidTr="00036A52">
        <w:tblPrEx>
          <w:tblW w:w="0" w:type="auto"/>
          <w:tblLayout w:type="fixed"/>
          <w:tblCellMar>
            <w:left w:w="0" w:type="dxa"/>
            <w:right w:w="0" w:type="dxa"/>
          </w:tblCellMar>
          <w:tblLook w:val="0000"/>
        </w:tblPrEx>
        <w:trPr>
          <w:trHeight w:val="83"/>
        </w:trPr>
        <w:tc>
          <w:tcPr>
            <w:tcW w:w="106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8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r w:rsidTr="00036A52">
        <w:tblPrEx>
          <w:tblW w:w="0" w:type="auto"/>
          <w:tblLayout w:type="fixed"/>
          <w:tblCellMar>
            <w:left w:w="0" w:type="dxa"/>
            <w:right w:w="0" w:type="dxa"/>
          </w:tblCellMar>
          <w:tblLook w:val="0000"/>
        </w:tblPrEx>
        <w:trPr>
          <w:trHeight w:val="273"/>
        </w:trPr>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sidRPr="00E43688">
              <w:rPr>
                <w:rFonts w:ascii="Arial" w:hAnsi="Arial" w:cs="Arial"/>
                <w:color w:val="1F1A17"/>
                <w:sz w:val="16"/>
                <w:szCs w:val="16"/>
              </w:rPr>
              <w:t>Anadolu</w:t>
            </w:r>
          </w:p>
        </w:tc>
        <w:tc>
          <w:tcPr>
            <w:tcW w:w="1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color w:val="1F1A17"/>
                <w:sz w:val="16"/>
                <w:szCs w:val="16"/>
              </w:rPr>
              <w:t>3.410.000</w:t>
            </w: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color w:val="1F1A17"/>
                <w:sz w:val="16"/>
                <w:szCs w:val="16"/>
              </w:rPr>
              <w:t>3.870.000</w:t>
            </w: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color w:val="1F1A17"/>
                <w:sz w:val="16"/>
                <w:szCs w:val="16"/>
              </w:rPr>
              <w:t>3.930.000</w:t>
            </w:r>
          </w:p>
        </w:tc>
        <w:tc>
          <w:tcPr>
            <w:tcW w:w="18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color w:val="1F1A17"/>
                <w:sz w:val="16"/>
                <w:szCs w:val="16"/>
              </w:rPr>
              <w:t>1.270.000</w:t>
            </w:r>
          </w:p>
        </w:tc>
        <w:tc>
          <w:tcPr>
            <w:tcW w:w="1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40"/>
              <w:jc w:val="right"/>
              <w:rPr>
                <w:rFonts w:ascii="Times New Roman" w:hAnsi="Times New Roman"/>
                <w:sz w:val="24"/>
                <w:szCs w:val="24"/>
              </w:rPr>
            </w:pPr>
            <w:r w:rsidRPr="00E43688">
              <w:rPr>
                <w:rFonts w:ascii="Arial" w:hAnsi="Arial" w:cs="Arial"/>
                <w:color w:val="1F1A17"/>
                <w:sz w:val="16"/>
                <w:szCs w:val="16"/>
              </w:rPr>
              <w:t>5.200.000</w:t>
            </w:r>
          </w:p>
        </w:tc>
      </w:tr>
      <w:tr w:rsidTr="00036A52">
        <w:tblPrEx>
          <w:tblW w:w="0" w:type="auto"/>
          <w:tblLayout w:type="fixed"/>
          <w:tblCellMar>
            <w:left w:w="0" w:type="dxa"/>
            <w:right w:w="0" w:type="dxa"/>
          </w:tblCellMar>
          <w:tblLook w:val="0000"/>
        </w:tblPrEx>
        <w:trPr>
          <w:trHeight w:val="84"/>
        </w:trPr>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8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r w:rsidTr="00036A52">
        <w:tblPrEx>
          <w:tblW w:w="0" w:type="auto"/>
          <w:tblLayout w:type="fixed"/>
          <w:tblCellMar>
            <w:left w:w="0" w:type="dxa"/>
            <w:right w:w="0" w:type="dxa"/>
          </w:tblCellMar>
          <w:tblLook w:val="0000"/>
        </w:tblPrEx>
        <w:trPr>
          <w:trHeight w:val="273"/>
        </w:trPr>
        <w:tc>
          <w:tcPr>
            <w:tcW w:w="106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240"/>
              <w:rPr>
                <w:rFonts w:ascii="Times New Roman" w:hAnsi="Times New Roman"/>
                <w:sz w:val="24"/>
                <w:szCs w:val="24"/>
              </w:rPr>
            </w:pPr>
            <w:r w:rsidRPr="00E43688">
              <w:rPr>
                <w:rFonts w:ascii="Arial" w:hAnsi="Arial" w:cs="Arial"/>
                <w:b/>
                <w:bCs/>
                <w:color w:val="1F1A17"/>
                <w:sz w:val="16"/>
                <w:szCs w:val="16"/>
              </w:rPr>
              <w:t>To</w:t>
            </w:r>
            <w:r>
              <w:rPr>
                <w:rFonts w:ascii="Arial" w:hAnsi="Arial" w:cs="Arial"/>
                <w:b/>
                <w:bCs/>
                <w:color w:val="1F1A17"/>
                <w:sz w:val="16"/>
                <w:szCs w:val="16"/>
              </w:rPr>
              <w:t>plam</w:t>
            </w:r>
          </w:p>
        </w:tc>
        <w:tc>
          <w:tcPr>
            <w:tcW w:w="1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60"/>
              <w:jc w:val="right"/>
              <w:rPr>
                <w:rFonts w:ascii="Times New Roman" w:hAnsi="Times New Roman"/>
                <w:sz w:val="24"/>
                <w:szCs w:val="24"/>
              </w:rPr>
            </w:pPr>
            <w:r w:rsidRPr="00E43688">
              <w:rPr>
                <w:rFonts w:ascii="Arial" w:hAnsi="Arial" w:cs="Arial"/>
                <w:b/>
                <w:bCs/>
                <w:color w:val="1F1A17"/>
                <w:sz w:val="16"/>
                <w:szCs w:val="16"/>
              </w:rPr>
              <w:t>5.690.000</w:t>
            </w: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b/>
                <w:bCs/>
                <w:color w:val="1F1A17"/>
                <w:sz w:val="16"/>
                <w:szCs w:val="16"/>
              </w:rPr>
              <w:t>6.520.000</w:t>
            </w: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140"/>
              <w:jc w:val="right"/>
              <w:rPr>
                <w:rFonts w:ascii="Times New Roman" w:hAnsi="Times New Roman"/>
                <w:sz w:val="24"/>
                <w:szCs w:val="24"/>
              </w:rPr>
            </w:pPr>
            <w:r w:rsidRPr="00E43688">
              <w:rPr>
                <w:rFonts w:ascii="Arial" w:hAnsi="Arial" w:cs="Arial"/>
                <w:b/>
                <w:bCs/>
                <w:color w:val="1F1A17"/>
                <w:sz w:val="16"/>
                <w:szCs w:val="16"/>
              </w:rPr>
              <w:t>6.780.000</w:t>
            </w:r>
          </w:p>
        </w:tc>
        <w:tc>
          <w:tcPr>
            <w:tcW w:w="18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b/>
                <w:bCs/>
                <w:color w:val="1F1A17"/>
                <w:sz w:val="16"/>
                <w:szCs w:val="16"/>
              </w:rPr>
              <w:t>2.290.000</w:t>
            </w: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right="240"/>
              <w:jc w:val="right"/>
              <w:rPr>
                <w:rFonts w:ascii="Times New Roman" w:hAnsi="Times New Roman"/>
                <w:sz w:val="24"/>
                <w:szCs w:val="24"/>
              </w:rPr>
            </w:pPr>
            <w:r w:rsidRPr="00E43688">
              <w:rPr>
                <w:rFonts w:ascii="Arial" w:hAnsi="Arial" w:cs="Arial"/>
                <w:b/>
                <w:bCs/>
                <w:color w:val="1F1A17"/>
                <w:sz w:val="16"/>
                <w:szCs w:val="16"/>
              </w:rPr>
              <w:t>9.070.000</w:t>
            </w:r>
          </w:p>
        </w:tc>
      </w:tr>
      <w:tr w:rsidTr="00036A52">
        <w:tblPrEx>
          <w:tblW w:w="0" w:type="auto"/>
          <w:tblLayout w:type="fixed"/>
          <w:tblCellMar>
            <w:left w:w="0" w:type="dxa"/>
            <w:right w:w="0" w:type="dxa"/>
          </w:tblCellMar>
          <w:tblLook w:val="0000"/>
        </w:tblPrEx>
        <w:trPr>
          <w:trHeight w:val="84"/>
        </w:trPr>
        <w:tc>
          <w:tcPr>
            <w:tcW w:w="106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1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80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1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bl>
    <w:p w:rsidR="00036A52" w:rsidRPr="00E43688" w:rsidP="00036A52">
      <w:pPr>
        <w:widowControl w:val="0"/>
        <w:autoSpaceDE w:val="0"/>
        <w:autoSpaceDN w:val="0"/>
        <w:adjustRightInd w:val="0"/>
        <w:spacing w:after="0" w:line="17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w:t>
      </w:r>
      <w:r w:rsidRPr="00E43688">
        <w:rPr>
          <w:rFonts w:ascii="Arial" w:hAnsi="Arial" w:cs="Arial"/>
          <w:i/>
          <w:iCs/>
          <w:color w:val="1F1A17"/>
          <w:sz w:val="16"/>
          <w:szCs w:val="16"/>
        </w:rPr>
        <w:t>: JonesLangLasalle</w:t>
      </w:r>
    </w:p>
    <w:p w:rsidR="00036A52" w:rsidRPr="00E43688" w:rsidP="00036A52">
      <w:pPr>
        <w:widowControl w:val="0"/>
        <w:autoSpaceDE w:val="0"/>
        <w:autoSpaceDN w:val="0"/>
        <w:adjustRightInd w:val="0"/>
        <w:spacing w:after="0" w:line="359" w:lineRule="exact"/>
        <w:rPr>
          <w:rFonts w:ascii="Times New Roman" w:hAnsi="Times New Roman"/>
          <w:sz w:val="24"/>
          <w:szCs w:val="24"/>
        </w:rPr>
      </w:pPr>
    </w:p>
    <w:p w:rsidR="00036A52" w:rsidRPr="00E43688" w:rsidP="00037148">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 xml:space="preserve">2007 sonunda </w:t>
      </w:r>
      <w:r w:rsidRPr="00E43688">
        <w:rPr>
          <w:rFonts w:ascii="Arial" w:hAnsi="Arial" w:cs="Arial"/>
          <w:color w:val="1F1A17"/>
        </w:rPr>
        <w:t>4.858.280</w:t>
      </w:r>
      <w:r>
        <w:rPr>
          <w:rFonts w:ascii="Arial" w:hAnsi="Arial" w:cs="Arial"/>
          <w:color w:val="1F1A17"/>
        </w:rPr>
        <w:t xml:space="preserve"> metrekare kiralanabilir alan varken, Mart 2011 sonu itibariyle Türk alışveriş merkezlerinde 6780000 metrekare kiralanabilir alan mevcuttu.JonesLang La Salle’ye göre 2013 sonunda Türkiye’de toplamda 9070000 metrekare kiralanabilir alan ile toplamda 344 alışveriş merkezi mevcut olacaktır.</w:t>
      </w:r>
    </w:p>
    <w:p w:rsidR="00036A52" w:rsidRPr="00E43688" w:rsidP="00036A52">
      <w:pPr>
        <w:widowControl w:val="0"/>
        <w:overflowPunct w:val="0"/>
        <w:autoSpaceDE w:val="0"/>
        <w:autoSpaceDN w:val="0"/>
        <w:adjustRightInd w:val="0"/>
        <w:spacing w:after="0" w:line="284" w:lineRule="auto"/>
        <w:jc w:val="both"/>
        <w:rPr>
          <w:rFonts w:ascii="Times New Roman" w:hAnsi="Times New Roman"/>
          <w:sz w:val="24"/>
          <w:szCs w:val="24"/>
        </w:rPr>
      </w:pPr>
      <w:r>
        <w:rPr>
          <w:rFonts w:ascii="Arial" w:hAnsi="Arial" w:cs="Arial"/>
          <w:color w:val="1F1A17"/>
        </w:rPr>
        <w:t xml:space="preserve">Bu ülkede tüm bu alışveriş merkezi kavramının dünyaya tanıtılması garip değildir.15. yüzyılın kapalı çarşısı labirent yapısında 58 tane sokağın üzerinde </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1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6608" behindDoc="1" locked="0" layoutInCell="0" allowOverlap="1">
            <wp:simplePos x="0" y="0"/>
            <wp:positionH relativeFrom="page">
              <wp:posOffset>0</wp:posOffset>
            </wp:positionH>
            <wp:positionV relativeFrom="page">
              <wp:posOffset>377190</wp:posOffset>
            </wp:positionV>
            <wp:extent cx="7880350" cy="9897110"/>
            <wp:effectExtent l="0" t="0" r="0" b="0"/>
            <wp:wrapNone/>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854" name="Picture 207"/>
                    <pic:cNvPicPr>
                      <a:picLocks noChangeAspect="1" noChangeArrowheads="1"/>
                    </pic:cNvPicPr>
                  </pic:nvPicPr>
                  <pic:blipFill>
                    <a:blip xmlns:r="http://schemas.openxmlformats.org/officeDocument/2006/relationships" r:embed="rId3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7148">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4000’den fazla dükkânı ile her dükkânı İstanbul’un merkezine bağlayacak şekilde konumlandırılmış, daha çok takı, mobilya, giysiler, deri giyim, seramik, halı ve diğer ev tekstil ürünlerini satan dükkânlar ile dünyanın en büyük pazar yeridir.22 yıl önce başlayan bir bina çılgınlığı sonucunda, şu an 14 milyona ulaşan nüfusu ile İstanbul, artık başka bir Avrupa kentinden daha modern alışveriş merkezlerine sahiptir.</w:t>
      </w:r>
    </w:p>
    <w:p w:rsidR="00036A52" w:rsidRPr="00E43688" w:rsidP="00037148">
      <w:pPr>
        <w:widowControl w:val="0"/>
        <w:overflowPunct w:val="0"/>
        <w:autoSpaceDE w:val="0"/>
        <w:autoSpaceDN w:val="0"/>
        <w:adjustRightInd w:val="0"/>
        <w:spacing w:after="0" w:line="276" w:lineRule="auto"/>
        <w:ind w:firstLine="1"/>
        <w:jc w:val="both"/>
        <w:rPr>
          <w:rFonts w:ascii="Times New Roman" w:hAnsi="Times New Roman"/>
          <w:sz w:val="24"/>
          <w:szCs w:val="24"/>
        </w:rPr>
      </w:pPr>
      <w:r w:rsidRPr="00E43688">
        <w:rPr>
          <w:rFonts w:ascii="Arial" w:hAnsi="Arial" w:cs="Arial"/>
          <w:color w:val="1F1A17"/>
        </w:rPr>
        <w:t>Coldwell Banker of Parsippany, New Jersey</w:t>
      </w:r>
      <w:r>
        <w:rPr>
          <w:rFonts w:ascii="Arial" w:hAnsi="Arial" w:cs="Arial"/>
          <w:color w:val="1F1A17"/>
        </w:rPr>
        <w:t xml:space="preserve"> ve</w:t>
      </w:r>
      <w:r w:rsidRPr="00E43688">
        <w:rPr>
          <w:rFonts w:ascii="Arial" w:hAnsi="Arial" w:cs="Arial"/>
          <w:color w:val="1F1A17"/>
        </w:rPr>
        <w:t xml:space="preserve">Emaar of Dubai, </w:t>
      </w:r>
      <w:r>
        <w:rPr>
          <w:rFonts w:ascii="Arial" w:hAnsi="Arial" w:cs="Arial"/>
          <w:color w:val="1F1A17"/>
        </w:rPr>
        <w:t>gibi geliştiriciler Türkiye’deki inşaat pazarına girmiştir.ABD’deki en büyük emlak şirketi Coldwell Banker, 2008 yılında İstanbul’un Beylikdüzü ilçesinde stüdyo dairelerden oluşan inşaat dâhil olmak üzere Türk gayrimenkulleri için 5 milyar dolar yatırım yapmaya başladı.İstanbul Büyükçekmece’deki Toskana Vadisi Villaları’nı 700 milyon dolara inşa eden Emaar, şehrin Asya tarafında olan Libadiye Gayrimenkullerini tasarruf mevduatı sigorta fonu ile ki bu fon devlet bankacılığı yeddi eminliği fonudur, 2008’in Şubat ayında satın almıştır. Yeni konut evleri, iş ofisleri ve alışveriş merkezini Çamlıca Tepe Parkının yakınında inşa e</w:t>
      </w:r>
      <w:r w:rsidR="00037148">
        <w:rPr>
          <w:rFonts w:ascii="Arial" w:hAnsi="Arial" w:cs="Arial"/>
          <w:color w:val="1F1A17"/>
        </w:rPr>
        <w:t>deceğini duyurmuştur</w:t>
      </w:r>
      <w:r>
        <w:rPr>
          <w:rFonts w:ascii="Arial" w:hAnsi="Arial" w:cs="Arial"/>
          <w:color w:val="1F1A17"/>
        </w:rPr>
        <w:t xml:space="preserve">. Ayrıca Emaar, diğer hızlı büyüyen Türkiye şehirlerinde konut projelerine yatırım </w:t>
      </w:r>
      <w:r w:rsidR="00FC4E45">
        <w:rPr>
          <w:rFonts w:ascii="Arial" w:hAnsi="Arial" w:cs="Arial"/>
          <w:color w:val="1F1A17"/>
        </w:rPr>
        <w:t>yapmayı planladıklarını belirtmiştir</w:t>
      </w:r>
      <w:r>
        <w:rPr>
          <w:rFonts w:ascii="Arial" w:hAnsi="Arial" w:cs="Arial"/>
          <w:color w:val="1F1A17"/>
        </w:rPr>
        <w:t>.</w:t>
      </w:r>
    </w:p>
    <w:p w:rsidR="00036A52" w:rsidRPr="00E43688" w:rsidP="00037148">
      <w:pPr>
        <w:widowControl w:val="0"/>
        <w:autoSpaceDE w:val="0"/>
        <w:autoSpaceDN w:val="0"/>
        <w:adjustRightInd w:val="0"/>
        <w:spacing w:after="0" w:line="240" w:lineRule="auto"/>
        <w:rPr>
          <w:rFonts w:ascii="Times New Roman" w:hAnsi="Times New Roman"/>
          <w:sz w:val="24"/>
          <w:szCs w:val="24"/>
        </w:rPr>
      </w:pPr>
      <w:r>
        <w:rPr>
          <w:rFonts w:ascii="Arial" w:hAnsi="Arial" w:cs="Arial"/>
          <w:color w:val="E87817"/>
          <w:sz w:val="26"/>
          <w:szCs w:val="26"/>
        </w:rPr>
        <w:t>Hindistan</w:t>
      </w:r>
    </w:p>
    <w:p w:rsidR="00036A52" w:rsidRPr="00E43688" w:rsidP="00037148">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Gayrimenkul sektörü tarımdan sonra istihdam yaratan en büyük ikinci sektördür.Yılda yaklaşık %20 oranında büyüyen bu sektörün, Hindistan’ın GSYİH’sine</w:t>
      </w:r>
      <w:r w:rsidR="00037148">
        <w:rPr>
          <w:rFonts w:ascii="Arial" w:hAnsi="Arial" w:cs="Arial"/>
          <w:color w:val="1F1A17"/>
        </w:rPr>
        <w:t xml:space="preserve"> (Gayri Safi Yurt İçi Hasıla)</w:t>
      </w:r>
      <w:r>
        <w:rPr>
          <w:rFonts w:ascii="Arial" w:hAnsi="Arial" w:cs="Arial"/>
          <w:color w:val="1F1A17"/>
        </w:rPr>
        <w:t xml:space="preserve"> yaklaşık %5-6 oranında katkısı olmuştur</w:t>
      </w:r>
      <w:r w:rsidRPr="00E43688">
        <w:rPr>
          <w:rFonts w:ascii="Arial" w:hAnsi="Arial" w:cs="Arial"/>
          <w:color w:val="1F1A17"/>
        </w:rPr>
        <w:t xml:space="preserve">. </w:t>
      </w:r>
      <w:r>
        <w:rPr>
          <w:rFonts w:ascii="Arial" w:hAnsi="Arial" w:cs="Arial"/>
          <w:color w:val="1F1A17"/>
        </w:rPr>
        <w:t>Yalnızca doğrudan yüksek düzeyde istihdam oluşturmakla kalmaz, ama aynı zamanda çimento, çelik, boya tuğla, inşaat malzemeleri, dayanıklı tüketim malları ve benzerleri gibi 250’den fazla yan sanayi talebini canlandırır.</w:t>
      </w:r>
    </w:p>
    <w:p w:rsidR="00036A52" w:rsidRPr="00E43688" w:rsidP="00036A52">
      <w:pPr>
        <w:widowControl w:val="0"/>
        <w:overflowPunct w:val="0"/>
        <w:autoSpaceDE w:val="0"/>
        <w:autoSpaceDN w:val="0"/>
        <w:adjustRightInd w:val="0"/>
        <w:spacing w:after="0" w:line="275" w:lineRule="auto"/>
        <w:jc w:val="both"/>
        <w:rPr>
          <w:rFonts w:ascii="Times New Roman" w:hAnsi="Times New Roman"/>
          <w:sz w:val="24"/>
          <w:szCs w:val="24"/>
        </w:rPr>
      </w:pPr>
      <w:r>
        <w:rPr>
          <w:rFonts w:ascii="Arial" w:hAnsi="Arial" w:cs="Arial"/>
          <w:color w:val="1F1A17"/>
        </w:rPr>
        <w:t>Hint gayrimenkul sektöründe 2005 yılından bu yana bir hız treni yolculuğu olmuştur. Hükümetin politikasının sonucu olarak bucak, yerleşke, altyapı kurulumu ve yapı geliştirme projeleri ile ilgili olarak %100 yabancı yatırımcıya izin verildi, yatırımda ve gelişimsel faaliyetlerde patlama yaşandı.Sektör sadece birçok yeni gayrimenkul oyun</w:t>
      </w:r>
      <w:r w:rsidR="00037148">
        <w:rPr>
          <w:rFonts w:ascii="Arial" w:hAnsi="Arial" w:cs="Arial"/>
          <w:color w:val="1F1A17"/>
        </w:rPr>
        <w:t>cularının girişine tanık olmakla kalmayıp</w:t>
      </w:r>
      <w:r>
        <w:rPr>
          <w:rFonts w:ascii="Arial" w:hAnsi="Arial" w:cs="Arial"/>
          <w:color w:val="1F1A17"/>
        </w:rPr>
        <w:t>, ama ayrıca özel sermaye fonları, emeklilik fonları ve yatırımların yüksek getirisinin etkisi ile sektöre sokulmuş geliştirme şirketlerinin de dâhil olduğu pek çok yabancı gayrimenkul şir</w:t>
      </w:r>
      <w:r w:rsidR="00037148">
        <w:rPr>
          <w:rFonts w:ascii="Arial" w:hAnsi="Arial" w:cs="Arial"/>
          <w:color w:val="1F1A17"/>
        </w:rPr>
        <w:t>ketinin de gelişine tanık olmaktadır</w:t>
      </w:r>
      <w:r>
        <w:rPr>
          <w:rFonts w:ascii="Arial" w:hAnsi="Arial" w:cs="Arial"/>
          <w:color w:val="1F1A17"/>
        </w:rPr>
        <w:t xml:space="preserve">. Gayrimenkul sektörü o günden bu güne pek çok iniş çıkış yaşamıştır.Sektör, 2007 ve 2008’in erken dönemlerinde talepte büyüme, önemli gelişme ve orta yabancı yatırımlar ile nitelenen yeni zirveler yakaladı.Bununla beraber 2008’in ortalarına kadar küresel ekonomik durgunluğun etkileri burada çok barizdi ve yabancı yatırımcı giriş yapınca gayrimenkul, önemli ölçüde düştü. Sıkıntılı dönem yaşamış yabancı yatırımcı için </w:t>
      </w:r>
      <w:r w:rsidRPr="00037148" w:rsidR="00037148">
        <w:rPr>
          <w:rFonts w:ascii="Arial" w:hAnsi="Arial" w:cs="Arial"/>
          <w:color w:val="1F1A17"/>
        </w:rPr>
        <w:t>en çok vaatte</w:t>
      </w:r>
      <w:r w:rsidR="00037148">
        <w:rPr>
          <w:rFonts w:ascii="Arial" w:hAnsi="Arial" w:cs="Arial"/>
          <w:color w:val="1F1A17"/>
        </w:rPr>
        <w:t xml:space="preserve"> bulunan bir pazar ortaya çıkmıştır.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7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E43688">
        <w:rPr>
          <w:rFonts w:ascii="Arial" w:hAnsi="Arial" w:cs="Arial"/>
          <w:color w:val="1F1A17"/>
          <w:sz w:val="17"/>
          <w:szCs w:val="17"/>
        </w:rPr>
        <w:t xml:space="preserve">51 | </w:t>
      </w: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7632" behindDoc="1" locked="0" layoutInCell="0" allowOverlap="1">
            <wp:simplePos x="0" y="0"/>
            <wp:positionH relativeFrom="page">
              <wp:posOffset>0</wp:posOffset>
            </wp:positionH>
            <wp:positionV relativeFrom="page">
              <wp:posOffset>0</wp:posOffset>
            </wp:positionV>
            <wp:extent cx="7880350" cy="9446895"/>
            <wp:effectExtent l="0" t="0" r="0" b="0"/>
            <wp:wrapNone/>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9703" name="Picture 208"/>
                    <pic:cNvPicPr>
                      <a:picLocks noChangeAspect="1" noChangeArrowheads="1"/>
                    </pic:cNvPicPr>
                  </pic:nvPicPr>
                  <pic:blipFill>
                    <a:blip xmlns:r="http://schemas.openxmlformats.org/officeDocument/2006/relationships" r:embed="rId3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6A52">
      <w:pPr>
        <w:widowControl w:val="0"/>
        <w:autoSpaceDE w:val="0"/>
        <w:autoSpaceDN w:val="0"/>
        <w:adjustRightInd w:val="0"/>
        <w:spacing w:after="0" w:line="211"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Hindistan gayrimenkul içine büyük yabancı yatırımları çekmek için muazzam bir potansiyele sahiptir.Küresel gayrimenkul oyuncuları, gayrimenkul gelişmiş ülkelerde bir doygunluk noktasına ulaşırken ve talep ve fiyatlar düşerken, gayrimenkul konusunda fırsatları değerlendirme için Hindistan gibi büyümekte olan ekonomilerle ilgileniyor.</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Hindistan gayrimenkulü, güçlü ekonomik temelleri ve demografik faktörleri sayesinde cazip kalacaktır. Gelişmiş ekonomiler hala büyüme ivmesini yeniden kazanmak için mücadele ederken, Hindistan ve Çin’in de dâhil olduğu gelişmekte olan ülkelerin oldukça yükse</w:t>
      </w:r>
      <w:r w:rsidR="00037148">
        <w:rPr>
          <w:rFonts w:ascii="Arial" w:hAnsi="Arial" w:cs="Arial"/>
          <w:color w:val="1F1A17"/>
        </w:rPr>
        <w:t>k bir oranda büyümesi beklenmektedir</w:t>
      </w:r>
      <w:r>
        <w:rPr>
          <w:rFonts w:ascii="Arial" w:hAnsi="Arial" w:cs="Arial"/>
          <w:color w:val="1F1A17"/>
        </w:rPr>
        <w:t>.Diğer küresel piyasalara kıyasla, Hindistan gayrimenkul yatırımı, yatırımcılara daha yüksek bir kazanç sağlayacaktır. Önümüzdeki yıllarda gayrimenkul sektöründeki fırsatlar Hindistan’a daha çok küresel oyuncu çekecek ve bunun sayesinde sektörün daha olgun ve şeffaf hale gelmesine, yönetimin iyileşmesine ve gelişmiş inşaat tekniklerinin benimsenmesine yardımcı olacaktır.</w:t>
      </w:r>
    </w:p>
    <w:p w:rsidR="00036A52" w:rsidRPr="00E43688" w:rsidP="00036A52">
      <w:pPr>
        <w:widowControl w:val="0"/>
        <w:autoSpaceDE w:val="0"/>
        <w:autoSpaceDN w:val="0"/>
        <w:adjustRightInd w:val="0"/>
        <w:spacing w:after="0" w:line="14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0A408A"/>
          <w:sz w:val="30"/>
          <w:szCs w:val="30"/>
        </w:rPr>
        <w:t>Ener</w:t>
      </w:r>
      <w:r>
        <w:rPr>
          <w:rFonts w:ascii="Arial" w:hAnsi="Arial" w:cs="Arial"/>
          <w:color w:val="0A408A"/>
          <w:sz w:val="30"/>
          <w:szCs w:val="30"/>
        </w:rPr>
        <w:t>ji ve Yenilenebilir Sektör</w:t>
      </w:r>
    </w:p>
    <w:p w:rsidR="00036A52" w:rsidRPr="00E43688" w:rsidP="00036A52">
      <w:pPr>
        <w:widowControl w:val="0"/>
        <w:autoSpaceDE w:val="0"/>
        <w:autoSpaceDN w:val="0"/>
        <w:adjustRightInd w:val="0"/>
        <w:spacing w:after="0" w:line="21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E87817"/>
          <w:sz w:val="26"/>
          <w:szCs w:val="26"/>
        </w:rPr>
        <w:t>T</w:t>
      </w:r>
      <w:r>
        <w:rPr>
          <w:rFonts w:ascii="Arial" w:hAnsi="Arial" w:cs="Arial"/>
          <w:color w:val="E87817"/>
          <w:sz w:val="26"/>
          <w:szCs w:val="26"/>
        </w:rPr>
        <w:t>ürkiye</w:t>
      </w:r>
    </w:p>
    <w:p w:rsidR="00036A52" w:rsidRPr="00E43688" w:rsidP="00036A52">
      <w:pPr>
        <w:widowControl w:val="0"/>
        <w:autoSpaceDE w:val="0"/>
        <w:autoSpaceDN w:val="0"/>
        <w:adjustRightInd w:val="0"/>
        <w:spacing w:after="0" w:line="259"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Türkiye son 10 yılda, kaydettiği ekonomik büyümeye paralel olarak dünyanın en hızlı büyüyen enerji marketlerinden biri haline gelmiştir.Söz konusu dönemde başarıyla uygulanan özelleştirme programı – önümüzdeki birkaç yıl içinde elektrik üretim varlıklarının özelleştirilmesinin tamamlanması ayarlanırken güç dağıtımı şu an tamamen özel sektörün elinde – ülkenin enerji sektörüne son derece rekabetç</w:t>
      </w:r>
      <w:r w:rsidR="00037148">
        <w:rPr>
          <w:rFonts w:ascii="Arial" w:hAnsi="Arial" w:cs="Arial"/>
          <w:color w:val="1F1A17"/>
        </w:rPr>
        <w:t>i bir yapı ve yeni ufuklar vermiştir</w:t>
      </w:r>
      <w:r>
        <w:rPr>
          <w:rFonts w:ascii="Arial" w:hAnsi="Arial" w:cs="Arial"/>
          <w:color w:val="1F1A17"/>
        </w:rPr>
        <w:t>.</w:t>
      </w:r>
    </w:p>
    <w:p w:rsidR="00036A52" w:rsidRPr="00E43688" w:rsidP="00036A52">
      <w:pPr>
        <w:widowControl w:val="0"/>
        <w:autoSpaceDE w:val="0"/>
        <w:autoSpaceDN w:val="0"/>
        <w:adjustRightInd w:val="0"/>
        <w:spacing w:after="0" w:line="224"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6" w:lineRule="auto"/>
        <w:jc w:val="both"/>
        <w:rPr>
          <w:rFonts w:ascii="Times New Roman" w:hAnsi="Times New Roman"/>
          <w:sz w:val="24"/>
          <w:szCs w:val="24"/>
        </w:rPr>
      </w:pPr>
      <w:r>
        <w:rPr>
          <w:rFonts w:ascii="Arial" w:hAnsi="Arial" w:cs="Arial"/>
          <w:color w:val="1F1A17"/>
        </w:rPr>
        <w:t>Türkiye’de birincil enerji kaynaklarının üretimi, sert ve linyit kömür üretimi, doğalgaz, ham petrol, yapım aşamasındaki; rüzgâr, jeotermal, elektrik ve güneş enerjisi üretiminde bir çarpışma programı olarak, 2003’teki 23,7 milyon ton petrole eşdeğer olarak 2009’da 30,125 milyon tona yükselmiştir. Rafine petrol ürünleri ve elektrik başta olmak üzere ülkenin enerji ihracatı 2009 yılında 3.902 milyar dolar iken 2010’da 4511 milyar dolara yükselmiştir. Türkiye 2008 yılında enerji ürünlerini ihraç ederek 7532 milyar</w:t>
      </w:r>
      <w:r w:rsidR="00037148">
        <w:rPr>
          <w:rFonts w:ascii="Arial" w:hAnsi="Arial" w:cs="Arial"/>
          <w:color w:val="1F1A17"/>
        </w:rPr>
        <w:t xml:space="preserve"> dolarlık rekor kazanç elde etmiştir</w:t>
      </w:r>
      <w:r>
        <w:rPr>
          <w:rFonts w:ascii="Arial" w:hAnsi="Arial" w:cs="Arial"/>
          <w:color w:val="1F1A17"/>
        </w:rPr>
        <w:t>.</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33"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8656" behindDoc="1" locked="0" layoutInCell="0" allowOverlap="1">
            <wp:simplePos x="0" y="0"/>
            <wp:positionH relativeFrom="page">
              <wp:posOffset>0</wp:posOffset>
            </wp:positionH>
            <wp:positionV relativeFrom="page">
              <wp:posOffset>377190</wp:posOffset>
            </wp:positionV>
            <wp:extent cx="7880350" cy="9897110"/>
            <wp:effectExtent l="0" t="0" r="0" b="0"/>
            <wp:wrapNone/>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9542" name="Picture 209"/>
                    <pic:cNvPicPr>
                      <a:picLocks noChangeAspect="1" noChangeArrowheads="1"/>
                    </pic:cNvPicPr>
                  </pic:nvPicPr>
                  <pic:blipFill>
                    <a:blip xmlns:r="http://schemas.openxmlformats.org/officeDocument/2006/relationships" r:embed="rId3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24" w:lineRule="exact"/>
        <w:rPr>
          <w:rFonts w:ascii="Times New Roman" w:hAnsi="Times New Roman"/>
          <w:sz w:val="24"/>
          <w:szCs w:val="24"/>
        </w:rPr>
      </w:pPr>
    </w:p>
    <w:tbl>
      <w:tblPr>
        <w:tblW w:w="0" w:type="auto"/>
        <w:tblLayout w:type="fixed"/>
        <w:tblCellMar>
          <w:left w:w="0" w:type="dxa"/>
          <w:right w:w="0" w:type="dxa"/>
        </w:tblCellMar>
        <w:tblLook w:val="0000"/>
      </w:tblPr>
      <w:tblGrid>
        <w:gridCol w:w="1740"/>
        <w:gridCol w:w="1060"/>
        <w:gridCol w:w="780"/>
        <w:gridCol w:w="740"/>
        <w:gridCol w:w="780"/>
        <w:gridCol w:w="2160"/>
        <w:gridCol w:w="20"/>
      </w:tblGrid>
      <w:tr w:rsidTr="00036A52">
        <w:tblPrEx>
          <w:tblW w:w="0" w:type="auto"/>
          <w:tblLayout w:type="fixed"/>
          <w:tblCellMar>
            <w:left w:w="0" w:type="dxa"/>
            <w:right w:w="0" w:type="dxa"/>
          </w:tblCellMar>
          <w:tblLook w:val="0000"/>
        </w:tblPrEx>
        <w:trPr>
          <w:trHeight w:val="259"/>
        </w:trPr>
        <w:tc>
          <w:tcPr>
            <w:tcW w:w="4320" w:type="dxa"/>
            <w:gridSpan w:val="4"/>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b/>
                <w:bCs/>
                <w:color w:val="E87817"/>
              </w:rPr>
              <w:t>Elektri</w:t>
            </w:r>
            <w:r>
              <w:rPr>
                <w:rFonts w:ascii="Arial" w:hAnsi="Arial" w:cs="Arial"/>
                <w:b/>
                <w:bCs/>
                <w:color w:val="E87817"/>
              </w:rPr>
              <w:t>k Üretimi ve Talep</w:t>
            </w:r>
            <w:r w:rsidRPr="00E43688">
              <w:rPr>
                <w:rFonts w:ascii="Arial" w:hAnsi="Arial" w:cs="Arial"/>
                <w:b/>
                <w:bCs/>
                <w:color w:val="E87817"/>
              </w:rPr>
              <w:t>, 2020</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78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600</w:t>
            </w: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1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0"/>
              <w:rPr>
                <w:rFonts w:ascii="Times New Roman" w:hAnsi="Times New Roman"/>
                <w:sz w:val="24"/>
                <w:szCs w:val="24"/>
              </w:rPr>
            </w:pPr>
            <w:r w:rsidRPr="00E43688">
              <w:rPr>
                <w:rFonts w:ascii="Arial" w:hAnsi="Arial" w:cs="Arial"/>
                <w:color w:val="1F1A17"/>
                <w:sz w:val="16"/>
                <w:szCs w:val="16"/>
              </w:rPr>
              <w:t>414</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85"/>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322"/>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500</w:t>
            </w: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20"/>
              <w:jc w:val="right"/>
              <w:rPr>
                <w:rFonts w:ascii="Times New Roman" w:hAnsi="Times New Roman"/>
                <w:sz w:val="24"/>
                <w:szCs w:val="24"/>
              </w:rPr>
            </w:pPr>
            <w:r w:rsidRPr="00E43688">
              <w:rPr>
                <w:rFonts w:ascii="Arial" w:hAnsi="Arial" w:cs="Arial"/>
                <w:color w:val="1F1A17"/>
                <w:w w:val="97"/>
                <w:sz w:val="16"/>
                <w:szCs w:val="16"/>
              </w:rPr>
              <w:t>338</w:t>
            </w: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00"/>
              <w:jc w:val="right"/>
              <w:rPr>
                <w:rFonts w:ascii="Times New Roman" w:hAnsi="Times New Roman"/>
                <w:sz w:val="24"/>
                <w:szCs w:val="24"/>
              </w:rPr>
            </w:pPr>
            <w:r w:rsidRPr="00E43688">
              <w:rPr>
                <w:rFonts w:ascii="Arial" w:hAnsi="Arial" w:cs="Arial"/>
                <w:color w:val="1F1A17"/>
                <w:sz w:val="16"/>
                <w:szCs w:val="16"/>
              </w:rPr>
              <w:t>302</w:t>
            </w: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40"/>
              <w:rPr>
                <w:rFonts w:ascii="Times New Roman" w:hAnsi="Times New Roman"/>
                <w:sz w:val="24"/>
                <w:szCs w:val="24"/>
              </w:rPr>
            </w:pPr>
            <w:r w:rsidRPr="00E43688">
              <w:rPr>
                <w:rFonts w:ascii="Arial" w:hAnsi="Arial" w:cs="Arial"/>
                <w:color w:val="1F1A17"/>
                <w:sz w:val="16"/>
                <w:szCs w:val="16"/>
              </w:rPr>
              <w:t>491</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62"/>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7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89"/>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400</w:t>
            </w:r>
          </w:p>
        </w:tc>
        <w:tc>
          <w:tcPr>
            <w:tcW w:w="10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00"/>
              <w:jc w:val="right"/>
              <w:rPr>
                <w:rFonts w:ascii="Times New Roman" w:hAnsi="Times New Roman"/>
                <w:sz w:val="24"/>
                <w:szCs w:val="24"/>
              </w:rPr>
            </w:pPr>
            <w:r w:rsidRPr="00E43688">
              <w:rPr>
                <w:rFonts w:ascii="Arial" w:hAnsi="Arial" w:cs="Arial"/>
                <w:color w:val="1F1A17"/>
                <w:sz w:val="16"/>
                <w:szCs w:val="16"/>
              </w:rPr>
              <w:t>248</w:t>
            </w:r>
          </w:p>
        </w:tc>
        <w:tc>
          <w:tcPr>
            <w:tcW w:w="7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6"/>
                <w:szCs w:val="16"/>
              </w:rPr>
              <w:t>406</w:t>
            </w: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6"/>
                <w:szCs w:val="16"/>
              </w:rPr>
              <w:t>362</w:t>
            </w:r>
          </w:p>
        </w:tc>
        <w:tc>
          <w:tcPr>
            <w:tcW w:w="21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560"/>
              <w:rPr>
                <w:rFonts w:ascii="Times New Roman" w:hAnsi="Times New Roman"/>
                <w:sz w:val="24"/>
                <w:szCs w:val="24"/>
              </w:rPr>
            </w:pPr>
            <w:r w:rsidRPr="00E43688">
              <w:rPr>
                <w:rFonts w:ascii="Arial" w:hAnsi="Arial" w:cs="Arial"/>
                <w:color w:val="1F1A17"/>
                <w:w w:val="98"/>
                <w:sz w:val="16"/>
                <w:szCs w:val="16"/>
              </w:rPr>
              <w:t>T</w:t>
            </w:r>
            <w:r>
              <w:rPr>
                <w:rFonts w:ascii="Arial" w:hAnsi="Arial" w:cs="Arial"/>
                <w:color w:val="1F1A17"/>
                <w:w w:val="98"/>
                <w:sz w:val="16"/>
                <w:szCs w:val="16"/>
              </w:rPr>
              <w:t>ermal</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39"/>
        </w:trPr>
        <w:tc>
          <w:tcPr>
            <w:tcW w:w="17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60"/>
              <w:rPr>
                <w:rFonts w:ascii="Times New Roman" w:hAnsi="Times New Roman"/>
                <w:sz w:val="24"/>
                <w:szCs w:val="24"/>
              </w:rPr>
            </w:pPr>
            <w:r w:rsidRPr="00E43688">
              <w:rPr>
                <w:rFonts w:ascii="Arial" w:hAnsi="Arial" w:cs="Arial"/>
                <w:color w:val="1F1A17"/>
                <w:sz w:val="16"/>
                <w:szCs w:val="16"/>
              </w:rPr>
              <w:t>180</w:t>
            </w:r>
          </w:p>
        </w:tc>
        <w:tc>
          <w:tcPr>
            <w:tcW w:w="10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7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00"/>
              <w:jc w:val="right"/>
              <w:rPr>
                <w:rFonts w:ascii="Times New Roman" w:hAnsi="Times New Roman"/>
                <w:sz w:val="24"/>
                <w:szCs w:val="24"/>
              </w:rPr>
            </w:pPr>
            <w:r w:rsidRPr="00E43688">
              <w:rPr>
                <w:rFonts w:ascii="Arial" w:hAnsi="Arial" w:cs="Arial"/>
                <w:color w:val="1F1A17"/>
                <w:sz w:val="16"/>
                <w:szCs w:val="16"/>
              </w:rPr>
              <w:t>199</w:t>
            </w:r>
          </w:p>
        </w:tc>
        <w:tc>
          <w:tcPr>
            <w:tcW w:w="7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34"/>
        </w:trPr>
        <w:tc>
          <w:tcPr>
            <w:tcW w:w="17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10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6"/>
                <w:szCs w:val="16"/>
              </w:rPr>
              <w:t>299</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7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21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540"/>
              <w:rPr>
                <w:rFonts w:ascii="Times New Roman" w:hAnsi="Times New Roman"/>
                <w:sz w:val="24"/>
                <w:szCs w:val="24"/>
              </w:rPr>
            </w:pPr>
            <w:r w:rsidRPr="00E43688">
              <w:rPr>
                <w:rFonts w:ascii="Arial" w:hAnsi="Arial" w:cs="Arial"/>
                <w:color w:val="1F1A17"/>
                <w:sz w:val="16"/>
                <w:szCs w:val="16"/>
              </w:rPr>
              <w:t>H</w:t>
            </w:r>
            <w:r>
              <w:rPr>
                <w:rFonts w:ascii="Arial" w:hAnsi="Arial" w:cs="Arial"/>
                <w:color w:val="1F1A17"/>
                <w:sz w:val="16"/>
                <w:szCs w:val="16"/>
              </w:rPr>
              <w:t>idro</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88"/>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300</w:t>
            </w:r>
          </w:p>
        </w:tc>
        <w:tc>
          <w:tcPr>
            <w:tcW w:w="10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9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0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720"/>
              <w:jc w:val="right"/>
              <w:rPr>
                <w:rFonts w:ascii="Times New Roman" w:hAnsi="Times New Roman"/>
                <w:sz w:val="24"/>
                <w:szCs w:val="24"/>
              </w:rPr>
            </w:pPr>
            <w:r w:rsidRPr="00E43688">
              <w:rPr>
                <w:rFonts w:ascii="Arial" w:hAnsi="Arial" w:cs="Arial"/>
                <w:color w:val="1F1A17"/>
                <w:w w:val="89"/>
                <w:sz w:val="16"/>
                <w:szCs w:val="16"/>
              </w:rPr>
              <w:t>224</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6"/>
                <w:szCs w:val="16"/>
              </w:rPr>
              <w:t>245</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1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540"/>
              <w:rPr>
                <w:rFonts w:ascii="Times New Roman" w:hAnsi="Times New Roman"/>
                <w:sz w:val="24"/>
                <w:szCs w:val="24"/>
              </w:rPr>
            </w:pPr>
            <w:r>
              <w:rPr>
                <w:rFonts w:ascii="Arial" w:hAnsi="Arial" w:cs="Arial"/>
                <w:color w:val="1F1A17"/>
                <w:w w:val="99"/>
                <w:sz w:val="16"/>
                <w:szCs w:val="16"/>
              </w:rPr>
              <w:t>Talep</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76"/>
        </w:trPr>
        <w:tc>
          <w:tcPr>
            <w:tcW w:w="17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200</w:t>
            </w:r>
          </w:p>
        </w:tc>
        <w:tc>
          <w:tcPr>
            <w:tcW w:w="10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74"/>
        </w:trPr>
        <w:tc>
          <w:tcPr>
            <w:tcW w:w="17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1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57"/>
        </w:trPr>
        <w:tc>
          <w:tcPr>
            <w:tcW w:w="17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391"/>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720"/>
              <w:rPr>
                <w:rFonts w:ascii="Times New Roman" w:hAnsi="Times New Roman"/>
                <w:sz w:val="24"/>
                <w:szCs w:val="24"/>
              </w:rPr>
            </w:pPr>
            <w:r w:rsidRPr="00E43688">
              <w:rPr>
                <w:rFonts w:ascii="Arial" w:hAnsi="Arial" w:cs="Arial"/>
                <w:color w:val="1F1A17"/>
                <w:sz w:val="16"/>
                <w:szCs w:val="16"/>
              </w:rPr>
              <w:t>100</w:t>
            </w:r>
          </w:p>
        </w:tc>
        <w:tc>
          <w:tcPr>
            <w:tcW w:w="10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color w:val="1F1A17"/>
                <w:sz w:val="16"/>
                <w:szCs w:val="16"/>
              </w:rPr>
              <w:t>51</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color w:val="1F1A17"/>
                <w:sz w:val="16"/>
                <w:szCs w:val="16"/>
              </w:rPr>
              <w:t>67</w:t>
            </w:r>
          </w:p>
        </w:tc>
        <w:tc>
          <w:tcPr>
            <w:tcW w:w="7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00"/>
              <w:jc w:val="right"/>
              <w:rPr>
                <w:rFonts w:ascii="Times New Roman" w:hAnsi="Times New Roman"/>
                <w:sz w:val="24"/>
                <w:szCs w:val="24"/>
              </w:rPr>
            </w:pPr>
            <w:r w:rsidRPr="00E43688">
              <w:rPr>
                <w:rFonts w:ascii="Arial" w:hAnsi="Arial" w:cs="Arial"/>
                <w:color w:val="1F1A17"/>
                <w:sz w:val="16"/>
                <w:szCs w:val="16"/>
              </w:rPr>
              <w:t>46</w:t>
            </w:r>
          </w:p>
        </w:tc>
        <w:tc>
          <w:tcPr>
            <w:tcW w:w="7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20"/>
              <w:jc w:val="right"/>
              <w:rPr>
                <w:rFonts w:ascii="Times New Roman" w:hAnsi="Times New Roman"/>
                <w:sz w:val="24"/>
                <w:szCs w:val="24"/>
              </w:rPr>
            </w:pPr>
            <w:r w:rsidRPr="00E43688">
              <w:rPr>
                <w:rFonts w:ascii="Arial" w:hAnsi="Arial" w:cs="Arial"/>
                <w:color w:val="1F1A17"/>
                <w:sz w:val="16"/>
                <w:szCs w:val="16"/>
              </w:rPr>
              <w:t>60</w:t>
            </w: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300"/>
              <w:rPr>
                <w:rFonts w:ascii="Times New Roman" w:hAnsi="Times New Roman"/>
                <w:sz w:val="24"/>
                <w:szCs w:val="24"/>
              </w:rPr>
            </w:pPr>
            <w:r w:rsidRPr="00E43688">
              <w:rPr>
                <w:rFonts w:ascii="Arial" w:hAnsi="Arial" w:cs="Arial"/>
                <w:color w:val="1F1A17"/>
                <w:sz w:val="16"/>
                <w:szCs w:val="16"/>
              </w:rPr>
              <w:t>77</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9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560"/>
              <w:rPr>
                <w:rFonts w:ascii="Times New Roman" w:hAnsi="Times New Roman"/>
                <w:sz w:val="24"/>
                <w:szCs w:val="24"/>
              </w:rPr>
            </w:pPr>
            <w:r w:rsidRPr="00E43688">
              <w:rPr>
                <w:rFonts w:ascii="Arial" w:hAnsi="Arial" w:cs="Arial"/>
                <w:color w:val="1F1A17"/>
                <w:w w:val="89"/>
                <w:sz w:val="16"/>
                <w:szCs w:val="16"/>
              </w:rPr>
              <w:t>45</w:t>
            </w:r>
          </w:p>
        </w:tc>
        <w:tc>
          <w:tcPr>
            <w:tcW w:w="10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77"/>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80"/>
              <w:rPr>
                <w:rFonts w:ascii="Times New Roman" w:hAnsi="Times New Roman"/>
                <w:sz w:val="24"/>
                <w:szCs w:val="24"/>
              </w:rPr>
            </w:pPr>
            <w:r w:rsidRPr="00E43688">
              <w:rPr>
                <w:rFonts w:ascii="Arial" w:hAnsi="Arial" w:cs="Arial"/>
                <w:color w:val="1F1A17"/>
                <w:sz w:val="16"/>
                <w:szCs w:val="16"/>
              </w:rPr>
              <w:t>0</w:t>
            </w: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191"/>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38"/>
              <w:jc w:val="center"/>
              <w:rPr>
                <w:rFonts w:ascii="Times New Roman" w:hAnsi="Times New Roman"/>
                <w:sz w:val="24"/>
                <w:szCs w:val="24"/>
              </w:rPr>
            </w:pPr>
            <w:r w:rsidRPr="00E43688">
              <w:rPr>
                <w:rFonts w:ascii="Arial" w:hAnsi="Arial" w:cs="Arial"/>
                <w:color w:val="1F1A17"/>
                <w:w w:val="95"/>
                <w:sz w:val="16"/>
                <w:szCs w:val="16"/>
              </w:rPr>
              <w:t>2010</w:t>
            </w: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0"/>
              <w:rPr>
                <w:rFonts w:ascii="Times New Roman" w:hAnsi="Times New Roman"/>
                <w:sz w:val="24"/>
                <w:szCs w:val="24"/>
              </w:rPr>
            </w:pPr>
            <w:r w:rsidRPr="00E43688">
              <w:rPr>
                <w:rFonts w:ascii="Arial" w:hAnsi="Arial" w:cs="Arial"/>
                <w:color w:val="1F1A17"/>
                <w:sz w:val="16"/>
                <w:szCs w:val="16"/>
              </w:rPr>
              <w:t>2015</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sidRPr="00E43688">
              <w:rPr>
                <w:rFonts w:ascii="Arial" w:hAnsi="Arial" w:cs="Arial"/>
                <w:color w:val="1F1A17"/>
                <w:sz w:val="16"/>
                <w:szCs w:val="16"/>
              </w:rPr>
              <w:t>2020</w:t>
            </w: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60"/>
              <w:jc w:val="right"/>
              <w:rPr>
                <w:rFonts w:ascii="Times New Roman" w:hAnsi="Times New Roman"/>
                <w:sz w:val="24"/>
                <w:szCs w:val="24"/>
              </w:rPr>
            </w:pPr>
            <w:r w:rsidRPr="00E43688">
              <w:rPr>
                <w:rFonts w:ascii="Arial" w:hAnsi="Arial" w:cs="Arial"/>
                <w:color w:val="1F1A17"/>
                <w:sz w:val="16"/>
                <w:szCs w:val="16"/>
              </w:rPr>
              <w:t>2010</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6"/>
                <w:szCs w:val="16"/>
              </w:rPr>
              <w:t>2015</w:t>
            </w: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sidRPr="00E43688">
              <w:rPr>
                <w:rFonts w:ascii="Arial" w:hAnsi="Arial" w:cs="Arial"/>
                <w:color w:val="1F1A17"/>
                <w:sz w:val="16"/>
                <w:szCs w:val="16"/>
              </w:rPr>
              <w:t>2020</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253"/>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38"/>
              <w:jc w:val="center"/>
              <w:rPr>
                <w:rFonts w:ascii="Times New Roman" w:hAnsi="Times New Roman"/>
                <w:sz w:val="24"/>
                <w:szCs w:val="24"/>
              </w:rPr>
            </w:pPr>
            <w:r>
              <w:rPr>
                <w:rFonts w:ascii="Arial" w:hAnsi="Arial" w:cs="Arial"/>
                <w:color w:val="1F1A17"/>
                <w:sz w:val="16"/>
                <w:szCs w:val="16"/>
              </w:rPr>
              <w:t>Düşük</w:t>
            </w:r>
          </w:p>
        </w:tc>
        <w:tc>
          <w:tcPr>
            <w:tcW w:w="10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400"/>
              <w:rPr>
                <w:rFonts w:ascii="Times New Roman" w:hAnsi="Times New Roman"/>
                <w:sz w:val="24"/>
                <w:szCs w:val="24"/>
              </w:rPr>
            </w:pPr>
            <w:r>
              <w:rPr>
                <w:rFonts w:ascii="Arial" w:hAnsi="Arial" w:cs="Arial"/>
                <w:color w:val="1F1A17"/>
                <w:sz w:val="16"/>
                <w:szCs w:val="16"/>
              </w:rPr>
              <w:t>Düşük</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6"/>
                <w:szCs w:val="16"/>
              </w:rPr>
              <w:t>Düşük</w:t>
            </w: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40"/>
              <w:jc w:val="right"/>
              <w:rPr>
                <w:rFonts w:ascii="Times New Roman" w:hAnsi="Times New Roman"/>
                <w:sz w:val="24"/>
                <w:szCs w:val="24"/>
              </w:rPr>
            </w:pPr>
            <w:r>
              <w:rPr>
                <w:rFonts w:ascii="Arial" w:hAnsi="Arial" w:cs="Arial"/>
                <w:color w:val="1F1A17"/>
                <w:sz w:val="16"/>
                <w:szCs w:val="16"/>
              </w:rPr>
              <w:t>Yüksek</w:t>
            </w: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6"/>
                <w:szCs w:val="16"/>
              </w:rPr>
              <w:t>Yüksek</w:t>
            </w: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color w:val="1F1A17"/>
                <w:sz w:val="16"/>
                <w:szCs w:val="16"/>
              </w:rPr>
              <w:t>Yüksek</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Layout w:type="fixed"/>
          <w:tblCellMar>
            <w:left w:w="0" w:type="dxa"/>
            <w:right w:w="0" w:type="dxa"/>
          </w:tblCellMar>
          <w:tblLook w:val="0000"/>
        </w:tblPrEx>
        <w:trPr>
          <w:trHeight w:val="482"/>
        </w:trPr>
        <w:tc>
          <w:tcPr>
            <w:tcW w:w="3580" w:type="dxa"/>
            <w:gridSpan w:val="3"/>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60"/>
              <w:jc w:val="center"/>
              <w:rPr>
                <w:rFonts w:ascii="Times New Roman" w:hAnsi="Times New Roman"/>
                <w:sz w:val="24"/>
                <w:szCs w:val="24"/>
              </w:rPr>
            </w:pPr>
            <w:r>
              <w:rPr>
                <w:rFonts w:ascii="Arial" w:hAnsi="Arial" w:cs="Arial"/>
                <w:i/>
                <w:iCs/>
                <w:color w:val="1F1A17"/>
                <w:w w:val="97"/>
                <w:sz w:val="16"/>
                <w:szCs w:val="16"/>
              </w:rPr>
              <w:t>Kaynak: Devlet Planlama Teşkilatı (DPT)</w:t>
            </w:r>
          </w:p>
        </w:tc>
        <w:tc>
          <w:tcPr>
            <w:tcW w:w="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1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bl>
    <w:p w:rsidR="00036A52" w:rsidRPr="00E43688" w:rsidP="00036A52">
      <w:pPr>
        <w:widowControl w:val="0"/>
        <w:autoSpaceDE w:val="0"/>
        <w:autoSpaceDN w:val="0"/>
        <w:adjustRightInd w:val="0"/>
        <w:spacing w:after="0" w:line="377"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9" w:lineRule="auto"/>
        <w:jc w:val="both"/>
        <w:rPr>
          <w:rFonts w:ascii="Times New Roman" w:hAnsi="Times New Roman"/>
          <w:sz w:val="24"/>
          <w:szCs w:val="24"/>
        </w:rPr>
      </w:pPr>
      <w:r>
        <w:rPr>
          <w:rFonts w:ascii="Arial" w:hAnsi="Arial" w:cs="Arial"/>
          <w:color w:val="1F1A17"/>
        </w:rPr>
        <w:t>Ekonomik genişleme, kişi başına düşen gelirin yükselmesi, pozitif demografik eğilimler ve kentleşmenin hızlı temposu; 2023’e kadar yıllık %7 civarında artış göstereceği tahmin edilen enerji talebinin temel faktörleridir.</w:t>
      </w:r>
    </w:p>
    <w:p w:rsidR="00036A52" w:rsidRPr="00E43688" w:rsidP="00036A52">
      <w:pPr>
        <w:widowControl w:val="0"/>
        <w:autoSpaceDE w:val="0"/>
        <w:autoSpaceDN w:val="0"/>
        <w:adjustRightInd w:val="0"/>
        <w:spacing w:after="0" w:line="316"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Kaynaklarına Göre Kurulu Güç</w:t>
      </w:r>
      <w:r w:rsidRPr="00E43688">
        <w:rPr>
          <w:rFonts w:ascii="Arial" w:hAnsi="Arial" w:cs="Arial"/>
          <w:b/>
          <w:bCs/>
          <w:color w:val="E87817"/>
        </w:rPr>
        <w:t>, 2020 (MW)</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99"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4540"/>
        <w:rPr>
          <w:rFonts w:ascii="Times New Roman" w:hAnsi="Times New Roman"/>
          <w:sz w:val="24"/>
          <w:szCs w:val="24"/>
        </w:rPr>
      </w:pPr>
      <w:r w:rsidRPr="00E43688">
        <w:rPr>
          <w:rFonts w:ascii="Arial" w:hAnsi="Arial" w:cs="Arial"/>
          <w:color w:val="1F1A17"/>
          <w:sz w:val="16"/>
          <w:szCs w:val="16"/>
        </w:rPr>
        <w:t>Li</w:t>
      </w:r>
      <w:r>
        <w:rPr>
          <w:rFonts w:ascii="Arial" w:hAnsi="Arial" w:cs="Arial"/>
          <w:color w:val="1F1A17"/>
          <w:sz w:val="16"/>
          <w:szCs w:val="16"/>
        </w:rPr>
        <w:t>nyit</w:t>
      </w:r>
    </w:p>
    <w:p w:rsidR="00036A52" w:rsidRPr="00E43688" w:rsidP="00036A52">
      <w:pPr>
        <w:widowControl w:val="0"/>
        <w:autoSpaceDE w:val="0"/>
        <w:autoSpaceDN w:val="0"/>
        <w:adjustRightInd w:val="0"/>
        <w:spacing w:after="0" w:line="9"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4620"/>
        <w:rPr>
          <w:rFonts w:ascii="Times New Roman" w:hAnsi="Times New Roman"/>
          <w:sz w:val="24"/>
          <w:szCs w:val="24"/>
        </w:rPr>
      </w:pPr>
      <w:r w:rsidRPr="00E43688">
        <w:rPr>
          <w:rFonts w:ascii="Arial" w:hAnsi="Arial" w:cs="Arial"/>
          <w:color w:val="1F1A17"/>
          <w:sz w:val="16"/>
          <w:szCs w:val="16"/>
        </w:rPr>
        <w:t>19%</w:t>
      </w:r>
    </w:p>
    <w:p w:rsidR="00036A52" w:rsidRPr="00E43688" w:rsidP="00036A52">
      <w:pPr>
        <w:widowControl w:val="0"/>
        <w:autoSpaceDE w:val="0"/>
        <w:autoSpaceDN w:val="0"/>
        <w:adjustRightInd w:val="0"/>
        <w:spacing w:after="0" w:line="233" w:lineRule="auto"/>
        <w:ind w:left="2120"/>
        <w:rPr>
          <w:rFonts w:ascii="Times New Roman" w:hAnsi="Times New Roman"/>
          <w:sz w:val="24"/>
          <w:szCs w:val="24"/>
        </w:rPr>
      </w:pPr>
      <w:r w:rsidRPr="00E43688">
        <w:rPr>
          <w:rFonts w:ascii="Arial" w:hAnsi="Arial" w:cs="Arial"/>
          <w:color w:val="1F1A17"/>
          <w:sz w:val="16"/>
          <w:szCs w:val="16"/>
        </w:rPr>
        <w:t>H</w:t>
      </w:r>
      <w:r>
        <w:rPr>
          <w:rFonts w:ascii="Arial" w:hAnsi="Arial" w:cs="Arial"/>
          <w:color w:val="1F1A17"/>
          <w:sz w:val="16"/>
          <w:szCs w:val="16"/>
        </w:rPr>
        <w:t>idro</w:t>
      </w:r>
      <w:r w:rsidRPr="00E43688">
        <w:rPr>
          <w:rFonts w:ascii="Arial" w:hAnsi="Arial" w:cs="Arial"/>
          <w:color w:val="1F1A17"/>
          <w:sz w:val="16"/>
          <w:szCs w:val="16"/>
        </w:rPr>
        <w:t xml:space="preserve"> 33%</w:t>
      </w:r>
    </w:p>
    <w:p w:rsidR="00036A52" w:rsidRPr="00E43688" w:rsidP="00036A52">
      <w:pPr>
        <w:widowControl w:val="0"/>
        <w:autoSpaceDE w:val="0"/>
        <w:autoSpaceDN w:val="0"/>
        <w:adjustRightInd w:val="0"/>
        <w:spacing w:after="0" w:line="15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5020"/>
        <w:rPr>
          <w:rFonts w:ascii="Times New Roman" w:hAnsi="Times New Roman"/>
          <w:sz w:val="24"/>
          <w:szCs w:val="24"/>
        </w:rPr>
      </w:pPr>
      <w:r>
        <w:rPr>
          <w:rFonts w:ascii="Arial" w:hAnsi="Arial" w:cs="Arial"/>
          <w:color w:val="1F1A17"/>
          <w:sz w:val="16"/>
          <w:szCs w:val="16"/>
        </w:rPr>
        <w:t>Taşkömürü</w:t>
      </w:r>
    </w:p>
    <w:p w:rsidR="00036A52" w:rsidRPr="00E43688" w:rsidP="00036A52">
      <w:pPr>
        <w:widowControl w:val="0"/>
        <w:autoSpaceDE w:val="0"/>
        <w:autoSpaceDN w:val="0"/>
        <w:adjustRightInd w:val="0"/>
        <w:spacing w:after="0" w:line="9"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5220"/>
        <w:rPr>
          <w:rFonts w:ascii="Times New Roman" w:hAnsi="Times New Roman"/>
          <w:sz w:val="24"/>
          <w:szCs w:val="24"/>
        </w:rPr>
      </w:pPr>
      <w:r w:rsidRPr="00E43688">
        <w:rPr>
          <w:rFonts w:ascii="Arial" w:hAnsi="Arial" w:cs="Arial"/>
          <w:color w:val="1F1A17"/>
          <w:sz w:val="16"/>
          <w:szCs w:val="16"/>
        </w:rPr>
        <w:t>8%</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2000"/>
        <w:rPr>
          <w:rFonts w:ascii="Times New Roman" w:hAnsi="Times New Roman"/>
          <w:sz w:val="24"/>
          <w:szCs w:val="24"/>
        </w:rPr>
      </w:pPr>
      <w:r>
        <w:rPr>
          <w:rFonts w:ascii="Arial" w:hAnsi="Arial" w:cs="Arial"/>
          <w:color w:val="1F1A17"/>
          <w:sz w:val="16"/>
          <w:szCs w:val="16"/>
        </w:rPr>
        <w:t xml:space="preserve">Rüzgâr </w:t>
      </w:r>
      <w:r w:rsidRPr="00E43688">
        <w:rPr>
          <w:rFonts w:ascii="Arial" w:hAnsi="Arial" w:cs="Arial"/>
          <w:color w:val="1F1A17"/>
          <w:sz w:val="16"/>
          <w:szCs w:val="16"/>
        </w:rPr>
        <w:t>3%</w:t>
      </w:r>
    </w:p>
    <w:p w:rsidR="00036A52" w:rsidRPr="00E43688" w:rsidP="00036A52">
      <w:pPr>
        <w:widowControl w:val="0"/>
        <w:autoSpaceDE w:val="0"/>
        <w:autoSpaceDN w:val="0"/>
        <w:adjustRightInd w:val="0"/>
        <w:spacing w:after="0" w:line="11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4260"/>
        <w:rPr>
          <w:rFonts w:ascii="Times New Roman" w:hAnsi="Times New Roman"/>
          <w:sz w:val="24"/>
          <w:szCs w:val="24"/>
        </w:rPr>
      </w:pPr>
      <w:r>
        <w:rPr>
          <w:rFonts w:ascii="Times New Roman" w:hAnsi="Times New Roman"/>
          <w:noProof/>
          <w:sz w:val="24"/>
          <w:szCs w:val="24"/>
        </w:rPr>
        <w:drawing>
          <wp:inline distT="0" distB="0" distL="0" distR="0">
            <wp:extent cx="295275" cy="19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66476"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 cy="19050"/>
                    </a:xfrm>
                    <a:prstGeom prst="rect">
                      <a:avLst/>
                    </a:prstGeom>
                    <a:noFill/>
                    <a:ln>
                      <a:noFill/>
                    </a:ln>
                  </pic:spPr>
                </pic:pic>
              </a:graphicData>
            </a:graphic>
          </wp:inline>
        </w:drawing>
      </w:r>
      <w:r w:rsidRPr="00E43688">
        <w:rPr>
          <w:rFonts w:ascii="Arial" w:hAnsi="Arial" w:cs="Arial"/>
          <w:color w:val="1F1A17"/>
          <w:sz w:val="16"/>
          <w:szCs w:val="16"/>
        </w:rPr>
        <w:t xml:space="preserve"> Ga</w:t>
      </w:r>
      <w:r>
        <w:rPr>
          <w:rFonts w:ascii="Arial" w:hAnsi="Arial" w:cs="Arial"/>
          <w:color w:val="1F1A17"/>
          <w:sz w:val="16"/>
          <w:szCs w:val="16"/>
        </w:rPr>
        <w:t>z</w:t>
      </w:r>
      <w:r w:rsidRPr="00E43688">
        <w:rPr>
          <w:rFonts w:ascii="Arial" w:hAnsi="Arial" w:cs="Arial"/>
          <w:color w:val="1F1A17"/>
          <w:sz w:val="16"/>
          <w:szCs w:val="16"/>
        </w:rPr>
        <w:t xml:space="preserve"> 29%</w:t>
      </w:r>
    </w:p>
    <w:p w:rsidR="00036A52" w:rsidRPr="00E43688" w:rsidP="00036A52">
      <w:pPr>
        <w:widowControl w:val="0"/>
        <w:autoSpaceDE w:val="0"/>
        <w:autoSpaceDN w:val="0"/>
        <w:adjustRightInd w:val="0"/>
        <w:spacing w:after="0" w:line="5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2220"/>
        <w:rPr>
          <w:rFonts w:ascii="Times New Roman" w:hAnsi="Times New Roman"/>
          <w:sz w:val="24"/>
          <w:szCs w:val="24"/>
        </w:rPr>
      </w:pPr>
      <w:r w:rsidRPr="00E43688">
        <w:rPr>
          <w:rFonts w:ascii="Arial" w:hAnsi="Arial" w:cs="Arial"/>
          <w:color w:val="1F1A17"/>
          <w:sz w:val="16"/>
          <w:szCs w:val="16"/>
        </w:rPr>
        <w:t>N</w:t>
      </w:r>
      <w:r>
        <w:rPr>
          <w:rFonts w:ascii="Arial" w:hAnsi="Arial" w:cs="Arial"/>
          <w:color w:val="1F1A17"/>
          <w:sz w:val="16"/>
          <w:szCs w:val="16"/>
        </w:rPr>
        <w:t>ükleer</w:t>
      </w:r>
      <w:r w:rsidRPr="00E43688">
        <w:rPr>
          <w:rFonts w:ascii="Arial" w:hAnsi="Arial" w:cs="Arial"/>
          <w:color w:val="1F1A17"/>
          <w:sz w:val="16"/>
          <w:szCs w:val="16"/>
        </w:rPr>
        <w:t xml:space="preserve"> 5%</w:t>
      </w:r>
    </w:p>
    <w:p w:rsidR="00036A52" w:rsidRPr="00E43688" w:rsidP="00036A52">
      <w:pPr>
        <w:widowControl w:val="0"/>
        <w:autoSpaceDE w:val="0"/>
        <w:autoSpaceDN w:val="0"/>
        <w:adjustRightInd w:val="0"/>
        <w:spacing w:after="0" w:line="6"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2900"/>
        <w:rPr>
          <w:rFonts w:ascii="Times New Roman" w:hAnsi="Times New Roman"/>
          <w:sz w:val="24"/>
          <w:szCs w:val="24"/>
        </w:rPr>
      </w:pPr>
      <w:r>
        <w:rPr>
          <w:rFonts w:ascii="Arial" w:hAnsi="Arial" w:cs="Arial"/>
          <w:color w:val="1F1A17"/>
          <w:sz w:val="16"/>
          <w:szCs w:val="16"/>
        </w:rPr>
        <w:t>Akaryakıt</w:t>
      </w:r>
      <w:r w:rsidRPr="00E43688">
        <w:rPr>
          <w:rFonts w:ascii="Arial" w:hAnsi="Arial" w:cs="Arial"/>
          <w:color w:val="1F1A17"/>
          <w:sz w:val="16"/>
          <w:szCs w:val="16"/>
        </w:rPr>
        <w:t xml:space="preserve"> 3%</w:t>
      </w:r>
    </w:p>
    <w:p w:rsidR="00036A52" w:rsidRPr="00E43688" w:rsidP="00036A52">
      <w:pPr>
        <w:widowControl w:val="0"/>
        <w:autoSpaceDE w:val="0"/>
        <w:autoSpaceDN w:val="0"/>
        <w:adjustRightInd w:val="0"/>
        <w:spacing w:after="0" w:line="396"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 xml:space="preserve">Kaynak: Enerji ve Tabii Kaynaklar Bakanlığı </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05"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Türk Elektrik Piyasası, 2010 ve 2011’de yaklaşık %9 büyüme ile dünyanın en hızlı büyüyen piyasalarından biridir</w:t>
      </w:r>
      <w:r w:rsidRPr="00E43688">
        <w:rPr>
          <w:rFonts w:ascii="Arial" w:hAnsi="Arial" w:cs="Arial"/>
          <w:color w:val="1F1A17"/>
        </w:rPr>
        <w:t>.</w:t>
      </w:r>
      <w:r>
        <w:rPr>
          <w:rFonts w:ascii="Arial" w:hAnsi="Arial" w:cs="Arial"/>
          <w:color w:val="1F1A17"/>
        </w:rPr>
        <w:t xml:space="preserve"> Türkiye’nin 2020 yılında üretim kapasitesini iki katına çıkararak 96.348 MW’ye ulaştırması için, iyi bir yabancı sermaye aşısı gerekecektir. Enerji ve Tabii Kaynaklar Bakanlığı verilerine göre,9.12.2010 tarihi </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96"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7880350" cy="9446895"/>
            <wp:effectExtent l="0" t="0" r="0" b="0"/>
            <wp:wrapNone/>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27413" name="Picture 210"/>
                    <pic:cNvPicPr>
                      <a:picLocks noChangeAspect="1" noChangeArrowheads="1"/>
                    </pic:cNvPicPr>
                  </pic:nvPicPr>
                  <pic:blipFill>
                    <a:blip xmlns:r="http://schemas.openxmlformats.org/officeDocument/2006/relationships" r:embed="rId4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7148">
      <w:pPr>
        <w:widowControl w:val="0"/>
        <w:overflowPunct w:val="0"/>
        <w:autoSpaceDE w:val="0"/>
        <w:autoSpaceDN w:val="0"/>
        <w:adjustRightInd w:val="0"/>
        <w:spacing w:after="0" w:line="284" w:lineRule="auto"/>
        <w:jc w:val="both"/>
        <w:rPr>
          <w:rFonts w:ascii="Times New Roman" w:hAnsi="Times New Roman"/>
          <w:sz w:val="24"/>
          <w:szCs w:val="24"/>
        </w:rPr>
      </w:pPr>
      <w:r>
        <w:rPr>
          <w:rFonts w:ascii="Arial" w:hAnsi="Arial" w:cs="Arial"/>
          <w:color w:val="1F1A17"/>
        </w:rPr>
        <w:t>İtibariyle, Türkiye’nin toplam kurulu güç üretim kapasitesi, yaklaşık 48,435.7 MW’ye</w:t>
      </w:r>
      <w:r w:rsidR="00037148">
        <w:rPr>
          <w:rFonts w:ascii="Arial" w:hAnsi="Arial" w:cs="Arial"/>
          <w:color w:val="1F1A17"/>
        </w:rPr>
        <w:t xml:space="preserve">(Mega Watt) </w:t>
      </w:r>
      <w:r>
        <w:rPr>
          <w:rFonts w:ascii="Arial" w:hAnsi="Arial" w:cs="Arial"/>
          <w:color w:val="1F1A17"/>
        </w:rPr>
        <w:t>ulaşmıştır.</w:t>
      </w:r>
    </w:p>
    <w:p w:rsidR="00036A52" w:rsidRPr="00E43688" w:rsidP="00036A52">
      <w:pPr>
        <w:widowControl w:val="0"/>
        <w:overflowPunct w:val="0"/>
        <w:autoSpaceDE w:val="0"/>
        <w:autoSpaceDN w:val="0"/>
        <w:adjustRightInd w:val="0"/>
        <w:spacing w:after="0" w:line="275" w:lineRule="auto"/>
        <w:ind w:firstLine="1"/>
        <w:jc w:val="both"/>
        <w:rPr>
          <w:rFonts w:ascii="Times New Roman" w:hAnsi="Times New Roman"/>
          <w:sz w:val="24"/>
          <w:szCs w:val="24"/>
        </w:rPr>
      </w:pPr>
      <w:r>
        <w:rPr>
          <w:rFonts w:ascii="Arial" w:hAnsi="Arial" w:cs="Arial"/>
          <w:color w:val="1F1A17"/>
        </w:rPr>
        <w:t xml:space="preserve">Hükümet, orta vadede muhtemel arz sıkıntısını karşılamak üzere, kapasitesini önemli bir miktar arttırmak için alternatifler geliştirmektedir. Yapım aşamasındaki projeler dikkate alındığında, yaklaşık 52,000 MW </w:t>
      </w:r>
      <w:r w:rsidR="00037148">
        <w:rPr>
          <w:rFonts w:ascii="Arial" w:hAnsi="Arial" w:cs="Arial"/>
          <w:color w:val="1F1A17"/>
        </w:rPr>
        <w:t xml:space="preserve">(Mega Watt) </w:t>
      </w:r>
      <w:r>
        <w:rPr>
          <w:rFonts w:ascii="Arial" w:hAnsi="Arial" w:cs="Arial"/>
          <w:color w:val="1F1A17"/>
        </w:rPr>
        <w:t>ilave kapasite gerekecektir. Devlet Planlama Teşkilatı ekonomistleri bu durumun toplamda 84 milyar dolar yatırım gerektireceğini hesaplamıştır. Yatırım gereksinimi 2011-2015</w:t>
      </w:r>
    </w:p>
    <w:p w:rsidR="00036A52" w:rsidRPr="00734691" w:rsidP="00036A52">
      <w:pPr>
        <w:widowControl w:val="0"/>
        <w:autoSpaceDE w:val="0"/>
        <w:autoSpaceDN w:val="0"/>
        <w:adjustRightInd w:val="0"/>
        <w:spacing w:after="0" w:line="269" w:lineRule="exact"/>
        <w:rPr>
          <w:rFonts w:ascii="Arial" w:hAnsi="Arial" w:cs="Arial"/>
        </w:rPr>
      </w:pPr>
      <w:r w:rsidRPr="00734691">
        <w:rPr>
          <w:rFonts w:ascii="Arial" w:hAnsi="Arial" w:cs="Arial"/>
        </w:rPr>
        <w:t>döneminde 20 milyar dolar</w:t>
      </w:r>
      <w:r>
        <w:rPr>
          <w:rFonts w:ascii="Arial" w:hAnsi="Arial" w:cs="Arial"/>
        </w:rPr>
        <w:t xml:space="preserve">, 2016-20 döneminde ise 51 milyar dolar olacaktır. Deloitte, 23,981 MW </w:t>
      </w:r>
      <w:r w:rsidR="00037148">
        <w:rPr>
          <w:rFonts w:ascii="Arial" w:hAnsi="Arial" w:cs="Arial"/>
        </w:rPr>
        <w:t xml:space="preserve">(Mega Watt) </w:t>
      </w:r>
      <w:r>
        <w:rPr>
          <w:rFonts w:ascii="Arial" w:hAnsi="Arial" w:cs="Arial"/>
        </w:rPr>
        <w:t>ilave kapasite üretimi için, 2015 yılına kadar gerekli finan</w:t>
      </w:r>
      <w:r w:rsidR="00037148">
        <w:rPr>
          <w:rFonts w:ascii="Arial" w:hAnsi="Arial" w:cs="Arial"/>
        </w:rPr>
        <w:t>sman olarak 31,9 milyar ayırmaktadır</w:t>
      </w:r>
      <w:r>
        <w:rPr>
          <w:rFonts w:ascii="Arial" w:hAnsi="Arial" w:cs="Arial"/>
        </w:rPr>
        <w:t>. Hükümet açığı karşılamak için, yeni hidroelektrik barajlar ve termik enerji santralleri inşa etmek, işletmek ve mevcut olanları onarm</w:t>
      </w:r>
      <w:r w:rsidR="00037148">
        <w:rPr>
          <w:rFonts w:ascii="Arial" w:hAnsi="Arial" w:cs="Arial"/>
        </w:rPr>
        <w:t>ak için özel yatırımcılar aramaktadır</w:t>
      </w:r>
      <w:r>
        <w:rPr>
          <w:rFonts w:ascii="Arial" w:hAnsi="Arial" w:cs="Arial"/>
        </w:rPr>
        <w:t>.2004 ve 2012 yılları arasında, 2,3 milyar dolardan fazla elektrik üretim yatırımı gerçekleştirilmiştir. En çok yatırım yapan ülkeler ABD,Kanada,Japonya ve çeşitli Avrupa ülkeleridir.</w:t>
      </w:r>
    </w:p>
    <w:p w:rsidR="00036A52" w:rsidP="00036A52">
      <w:pPr>
        <w:widowControl w:val="0"/>
        <w:autoSpaceDE w:val="0"/>
        <w:autoSpaceDN w:val="0"/>
        <w:adjustRightInd w:val="0"/>
        <w:spacing w:after="0" w:line="240" w:lineRule="auto"/>
        <w:rPr>
          <w:rFonts w:ascii="Arial" w:hAnsi="Arial" w:cs="Arial"/>
          <w:b/>
          <w:bCs/>
          <w:color w:val="E87817"/>
        </w:rPr>
      </w:pPr>
    </w:p>
    <w:p w:rsidR="00036A52" w:rsidP="00036A52">
      <w:pPr>
        <w:widowControl w:val="0"/>
        <w:autoSpaceDE w:val="0"/>
        <w:autoSpaceDN w:val="0"/>
        <w:adjustRightInd w:val="0"/>
        <w:spacing w:after="0" w:line="240" w:lineRule="auto"/>
        <w:rPr>
          <w:rFonts w:ascii="Arial" w:hAnsi="Arial" w:cs="Arial"/>
          <w:b/>
          <w:bCs/>
          <w:color w:val="E87817"/>
        </w:rPr>
      </w:pPr>
    </w:p>
    <w:p w:rsidR="00036A52" w:rsidP="00036A52">
      <w:pPr>
        <w:widowControl w:val="0"/>
        <w:autoSpaceDE w:val="0"/>
        <w:autoSpaceDN w:val="0"/>
        <w:adjustRightInd w:val="0"/>
        <w:spacing w:after="0" w:line="240" w:lineRule="auto"/>
        <w:rPr>
          <w:rFonts w:ascii="Arial" w:hAnsi="Arial" w:cs="Arial"/>
          <w:b/>
          <w:bCs/>
          <w:color w:val="E87817"/>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Elektrik ve Gaz Sektöründe Toplam DYY Girişleri</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6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ind w:left="680"/>
        <w:rPr>
          <w:rFonts w:ascii="Times New Roman" w:hAnsi="Times New Roman"/>
          <w:sz w:val="24"/>
          <w:szCs w:val="24"/>
        </w:rPr>
      </w:pPr>
      <w:r>
        <w:rPr>
          <w:rFonts w:ascii="Arial" w:hAnsi="Arial" w:cs="Arial"/>
          <w:b/>
          <w:bCs/>
          <w:color w:val="1F1A17"/>
          <w:sz w:val="16"/>
          <w:szCs w:val="16"/>
        </w:rPr>
        <w:t>Milyon Dolar</w:t>
      </w:r>
    </w:p>
    <w:p w:rsidR="00036A52" w:rsidRPr="00E43688" w:rsidP="00036A52">
      <w:pPr>
        <w:widowControl w:val="0"/>
        <w:autoSpaceDE w:val="0"/>
        <w:autoSpaceDN w:val="0"/>
        <w:adjustRightInd w:val="0"/>
        <w:spacing w:after="0" w:line="83" w:lineRule="exact"/>
        <w:rPr>
          <w:rFonts w:ascii="Times New Roman" w:hAnsi="Times New Roman"/>
          <w:sz w:val="24"/>
          <w:szCs w:val="24"/>
        </w:rPr>
      </w:pPr>
    </w:p>
    <w:tbl>
      <w:tblPr>
        <w:tblW w:w="0" w:type="auto"/>
        <w:tblInd w:w="840" w:type="dxa"/>
        <w:tblLayout w:type="fixed"/>
        <w:tblCellMar>
          <w:left w:w="0" w:type="dxa"/>
          <w:right w:w="0" w:type="dxa"/>
        </w:tblCellMar>
        <w:tblLook w:val="0000"/>
      </w:tblPr>
      <w:tblGrid>
        <w:gridCol w:w="1740"/>
        <w:gridCol w:w="1200"/>
        <w:gridCol w:w="1180"/>
        <w:gridCol w:w="1180"/>
        <w:gridCol w:w="760"/>
      </w:tblGrid>
      <w:tr w:rsidTr="00036A52">
        <w:tblPrEx>
          <w:tblW w:w="0" w:type="auto"/>
          <w:tblInd w:w="840" w:type="dxa"/>
          <w:tblLayout w:type="fixed"/>
          <w:tblCellMar>
            <w:left w:w="0" w:type="dxa"/>
            <w:right w:w="0" w:type="dxa"/>
          </w:tblCellMar>
          <w:tblLook w:val="0000"/>
        </w:tblPrEx>
        <w:trPr>
          <w:trHeight w:val="19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w w:val="95"/>
                <w:sz w:val="16"/>
                <w:szCs w:val="16"/>
              </w:rPr>
              <w:t>5000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r>
      <w:tr w:rsidTr="00036A52">
        <w:tblPrEx>
          <w:tblW w:w="0" w:type="auto"/>
          <w:tblInd w:w="840" w:type="dxa"/>
          <w:tblLayout w:type="fixed"/>
          <w:tblCellMar>
            <w:left w:w="0" w:type="dxa"/>
            <w:right w:w="0" w:type="dxa"/>
          </w:tblCellMar>
          <w:tblLook w:val="0000"/>
        </w:tblPrEx>
        <w:trPr>
          <w:trHeight w:val="405"/>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w w:val="95"/>
                <w:sz w:val="16"/>
                <w:szCs w:val="16"/>
              </w:rPr>
              <w:t>4000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840" w:type="dxa"/>
          <w:tblLayout w:type="fixed"/>
          <w:tblCellMar>
            <w:left w:w="0" w:type="dxa"/>
            <w:right w:w="0" w:type="dxa"/>
          </w:tblCellMar>
          <w:tblLook w:val="0000"/>
        </w:tblPrEx>
        <w:trPr>
          <w:trHeight w:val="416"/>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w w:val="95"/>
                <w:sz w:val="16"/>
                <w:szCs w:val="16"/>
              </w:rPr>
              <w:t>3000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840" w:type="dxa"/>
          <w:tblLayout w:type="fixed"/>
          <w:tblCellMar>
            <w:left w:w="0" w:type="dxa"/>
            <w:right w:w="0" w:type="dxa"/>
          </w:tblCellMar>
          <w:tblLook w:val="0000"/>
        </w:tblPrEx>
        <w:trPr>
          <w:trHeight w:val="401"/>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w w:val="95"/>
                <w:sz w:val="16"/>
                <w:szCs w:val="16"/>
              </w:rPr>
              <w:t>2000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840" w:type="dxa"/>
          <w:tblLayout w:type="fixed"/>
          <w:tblCellMar>
            <w:left w:w="0" w:type="dxa"/>
            <w:right w:w="0" w:type="dxa"/>
          </w:tblCellMar>
          <w:tblLook w:val="0000"/>
        </w:tblPrEx>
        <w:trPr>
          <w:trHeight w:val="41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w w:val="95"/>
                <w:sz w:val="16"/>
                <w:szCs w:val="16"/>
              </w:rPr>
              <w:t>1000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840" w:type="dxa"/>
          <w:tblLayout w:type="fixed"/>
          <w:tblCellMar>
            <w:left w:w="0" w:type="dxa"/>
            <w:right w:w="0" w:type="dxa"/>
          </w:tblCellMar>
          <w:tblLook w:val="0000"/>
        </w:tblPrEx>
        <w:trPr>
          <w:trHeight w:val="419"/>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300"/>
              <w:jc w:val="right"/>
              <w:rPr>
                <w:rFonts w:ascii="Times New Roman" w:hAnsi="Times New Roman"/>
                <w:sz w:val="24"/>
                <w:szCs w:val="24"/>
              </w:rPr>
            </w:pPr>
            <w:r w:rsidRPr="00E43688">
              <w:rPr>
                <w:rFonts w:ascii="Arial" w:hAnsi="Arial" w:cs="Arial"/>
                <w:color w:val="1F1A17"/>
                <w:sz w:val="16"/>
                <w:szCs w:val="16"/>
              </w:rPr>
              <w:t>0</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Ind w:w="840" w:type="dxa"/>
          <w:tblLayout w:type="fixed"/>
          <w:tblCellMar>
            <w:left w:w="0" w:type="dxa"/>
            <w:right w:w="0" w:type="dxa"/>
          </w:tblCellMar>
          <w:tblLook w:val="0000"/>
        </w:tblPrEx>
        <w:trPr>
          <w:trHeight w:val="210"/>
        </w:trPr>
        <w:tc>
          <w:tcPr>
            <w:tcW w:w="17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color w:val="1F1A17"/>
                <w:sz w:val="16"/>
                <w:szCs w:val="16"/>
              </w:rPr>
              <w:t>2008</w:t>
            </w:r>
          </w:p>
        </w:tc>
        <w:tc>
          <w:tcPr>
            <w:tcW w:w="1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color w:val="1F1A17"/>
                <w:sz w:val="16"/>
                <w:szCs w:val="16"/>
              </w:rPr>
              <w:t>2009</w:t>
            </w: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60"/>
              <w:jc w:val="right"/>
              <w:rPr>
                <w:rFonts w:ascii="Times New Roman" w:hAnsi="Times New Roman"/>
                <w:sz w:val="24"/>
                <w:szCs w:val="24"/>
              </w:rPr>
            </w:pPr>
            <w:r w:rsidRPr="00E43688">
              <w:rPr>
                <w:rFonts w:ascii="Arial" w:hAnsi="Arial" w:cs="Arial"/>
                <w:color w:val="1F1A17"/>
                <w:sz w:val="16"/>
                <w:szCs w:val="16"/>
              </w:rPr>
              <w:t>2010</w:t>
            </w:r>
          </w:p>
        </w:tc>
        <w:tc>
          <w:tcPr>
            <w:tcW w:w="11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40"/>
              <w:jc w:val="right"/>
              <w:rPr>
                <w:rFonts w:ascii="Times New Roman" w:hAnsi="Times New Roman"/>
                <w:sz w:val="24"/>
                <w:szCs w:val="24"/>
              </w:rPr>
            </w:pPr>
            <w:r w:rsidRPr="00E43688">
              <w:rPr>
                <w:rFonts w:ascii="Arial" w:hAnsi="Arial" w:cs="Arial"/>
                <w:color w:val="1F1A17"/>
                <w:sz w:val="16"/>
                <w:szCs w:val="16"/>
              </w:rPr>
              <w:t>2011</w:t>
            </w:r>
          </w:p>
        </w:tc>
        <w:tc>
          <w:tcPr>
            <w:tcW w:w="7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1F1A17"/>
                <w:sz w:val="16"/>
                <w:szCs w:val="16"/>
              </w:rPr>
              <w:t>2012</w:t>
            </w:r>
          </w:p>
        </w:tc>
      </w:tr>
    </w:tbl>
    <w:p w:rsidR="00036A52" w:rsidRPr="00E43688" w:rsidP="00036A52">
      <w:pPr>
        <w:widowControl w:val="0"/>
        <w:autoSpaceDE w:val="0"/>
        <w:autoSpaceDN w:val="0"/>
        <w:adjustRightInd w:val="0"/>
        <w:spacing w:after="0" w:line="44" w:lineRule="exact"/>
        <w:rPr>
          <w:rFonts w:ascii="Times New Roman" w:hAnsi="Times New Roman"/>
          <w:sz w:val="24"/>
          <w:szCs w:val="24"/>
        </w:rPr>
      </w:pPr>
    </w:p>
    <w:p w:rsidR="00036A52" w:rsidRPr="00E43688" w:rsidP="00037148">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 Yabancı</w:t>
      </w:r>
      <w:r>
        <w:rPr>
          <w:rFonts w:ascii="Arial" w:hAnsi="Arial" w:cs="Arial"/>
          <w:i/>
          <w:iCs/>
          <w:color w:val="1F1A17"/>
          <w:sz w:val="16"/>
          <w:szCs w:val="16"/>
        </w:rPr>
        <w:t xml:space="preserve"> Yatırımcılar Derneği</w:t>
      </w:r>
    </w:p>
    <w:p w:rsidR="00036A52" w:rsidRPr="00E43688" w:rsidP="00036A52">
      <w:pPr>
        <w:widowControl w:val="0"/>
        <w:autoSpaceDE w:val="0"/>
        <w:autoSpaceDN w:val="0"/>
        <w:adjustRightInd w:val="0"/>
        <w:spacing w:after="0" w:line="278" w:lineRule="exact"/>
        <w:rPr>
          <w:rFonts w:ascii="Times New Roman" w:hAnsi="Times New Roman"/>
          <w:sz w:val="24"/>
          <w:szCs w:val="24"/>
        </w:rPr>
      </w:pPr>
    </w:p>
    <w:p w:rsidR="00036A52" w:rsidRPr="00734691" w:rsidP="00036A52">
      <w:pPr>
        <w:widowControl w:val="0"/>
        <w:overflowPunct w:val="0"/>
        <w:autoSpaceDE w:val="0"/>
        <w:autoSpaceDN w:val="0"/>
        <w:adjustRightInd w:val="0"/>
        <w:spacing w:after="0" w:line="290" w:lineRule="auto"/>
        <w:jc w:val="both"/>
        <w:rPr>
          <w:rFonts w:ascii="Arial" w:hAnsi="Arial" w:cs="Arial"/>
          <w:color w:val="1F1A17"/>
          <w:sz w:val="21"/>
          <w:szCs w:val="21"/>
        </w:rPr>
      </w:pPr>
      <w:r>
        <w:rPr>
          <w:rFonts w:ascii="Arial" w:hAnsi="Arial" w:cs="Arial"/>
          <w:color w:val="1F1A17"/>
          <w:sz w:val="21"/>
          <w:szCs w:val="21"/>
        </w:rPr>
        <w:t xml:space="preserve">Türkiye’nin doğalgaz tüketimi bir önceki yıla göre %4.7 artış göstererek 2012 yılında yaklaşık 46 milyar metreküpe </w:t>
      </w:r>
      <w:r w:rsidR="00445C63">
        <w:rPr>
          <w:rFonts w:ascii="Arial" w:hAnsi="Arial" w:cs="Arial"/>
          <w:color w:val="1F1A17"/>
          <w:sz w:val="21"/>
          <w:szCs w:val="21"/>
        </w:rPr>
        <w:t>ulaşmıştır. Enerji</w:t>
      </w:r>
      <w:r>
        <w:rPr>
          <w:rFonts w:ascii="Arial" w:hAnsi="Arial" w:cs="Arial"/>
          <w:color w:val="1F1A17"/>
          <w:sz w:val="21"/>
          <w:szCs w:val="21"/>
        </w:rPr>
        <w:t xml:space="preserve"> ve Tabii Kaynaklar Bakanlığı’na göre, doğalgaz talebinin 2020 yılına kadar yılda %2,9 oranında büyümesi </w:t>
      </w:r>
      <w:r w:rsidR="00037148">
        <w:rPr>
          <w:rFonts w:ascii="Arial" w:hAnsi="Arial" w:cs="Arial"/>
          <w:color w:val="1F1A17"/>
          <w:sz w:val="21"/>
          <w:szCs w:val="21"/>
        </w:rPr>
        <w:t>beklenmektedir</w:t>
      </w:r>
      <w:r w:rsidR="00445C63">
        <w:rPr>
          <w:rFonts w:ascii="Arial" w:hAnsi="Arial" w:cs="Arial"/>
          <w:color w:val="1F1A17"/>
          <w:sz w:val="21"/>
          <w:szCs w:val="21"/>
        </w:rPr>
        <w:t>. Devlet</w:t>
      </w:r>
      <w:r>
        <w:rPr>
          <w:rFonts w:ascii="Arial" w:hAnsi="Arial" w:cs="Arial"/>
          <w:color w:val="1F1A17"/>
          <w:sz w:val="21"/>
          <w:szCs w:val="21"/>
        </w:rPr>
        <w:t xml:space="preserve"> Petrol Boru Hattı Şirketi (BOTAŞ) gaz tüketiminin 2015 yılında 53 milyar metreküp ve 2020 yılında 61 milyar </w:t>
      </w:r>
      <w:r w:rsidR="00445C63">
        <w:rPr>
          <w:rFonts w:ascii="Arial" w:hAnsi="Arial" w:cs="Arial"/>
          <w:color w:val="1F1A17"/>
          <w:sz w:val="21"/>
          <w:szCs w:val="21"/>
        </w:rPr>
        <w:t>metreküp</w:t>
      </w:r>
      <w:r>
        <w:rPr>
          <w:rFonts w:ascii="Arial" w:hAnsi="Arial" w:cs="Arial"/>
          <w:color w:val="1F1A17"/>
          <w:sz w:val="21"/>
          <w:szCs w:val="21"/>
        </w:rPr>
        <w:t xml:space="preserve"> olacağını tahmin etmiştir.2012 yılında; benzin, motorin, akaryakıt ve akaryakıt ürünlerinin dağıtım satışı 18,2 milyon tona karşılık gelen %3,8lik bir büyüme </w:t>
      </w:r>
      <w:r w:rsidR="00445C63">
        <w:rPr>
          <w:rFonts w:ascii="Arial" w:hAnsi="Arial" w:cs="Arial"/>
          <w:color w:val="1F1A17"/>
          <w:sz w:val="21"/>
          <w:szCs w:val="21"/>
        </w:rPr>
        <w:t>yaşamıştır. Ham</w:t>
      </w:r>
      <w:r>
        <w:rPr>
          <w:rFonts w:ascii="Arial" w:hAnsi="Arial" w:cs="Arial"/>
          <w:color w:val="1F1A17"/>
          <w:sz w:val="21"/>
          <w:szCs w:val="21"/>
        </w:rPr>
        <w:t xml:space="preserve"> petrol ithalatı %7 artarak 2012 yılında 19,5 milyon tona ulaşmıştır.</w:t>
      </w:r>
      <w:r w:rsidR="00445C63">
        <w:rPr>
          <w:rFonts w:ascii="Arial" w:hAnsi="Arial" w:cs="Arial"/>
          <w:color w:val="1F1A17"/>
          <w:sz w:val="21"/>
          <w:szCs w:val="21"/>
        </w:rPr>
        <w:t xml:space="preserve"> Türkiye’nin</w:t>
      </w:r>
      <w:r>
        <w:rPr>
          <w:rFonts w:ascii="Arial" w:hAnsi="Arial" w:cs="Arial"/>
          <w:color w:val="1F1A17"/>
          <w:sz w:val="21"/>
          <w:szCs w:val="21"/>
        </w:rPr>
        <w:t xml:space="preserve"> doğalgaz üretimi oldukça sınırlı olduğundan, ithalat ülkenin değer zincirinin en kritik bileşenidir. </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31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color w:val="1F1A17"/>
          <w:sz w:val="17"/>
          <w:szCs w:val="17"/>
        </w:rPr>
        <w:t xml:space="preserve">54 | </w:t>
      </w: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0704" behindDoc="1" locked="0" layoutInCell="0" allowOverlap="1">
            <wp:simplePos x="0" y="0"/>
            <wp:positionH relativeFrom="page">
              <wp:posOffset>0</wp:posOffset>
            </wp:positionH>
            <wp:positionV relativeFrom="page">
              <wp:posOffset>377190</wp:posOffset>
            </wp:positionV>
            <wp:extent cx="7880350" cy="9897110"/>
            <wp:effectExtent l="0" t="0" r="0" b="0"/>
            <wp:wrapNone/>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18112" name="Picture 211"/>
                    <pic:cNvPicPr>
                      <a:picLocks noChangeAspect="1" noChangeArrowheads="1"/>
                    </pic:cNvPicPr>
                  </pic:nvPicPr>
                  <pic:blipFill>
                    <a:blip xmlns:r="http://schemas.openxmlformats.org/officeDocument/2006/relationships" r:embed="rId4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946B4F">
      <w:pPr>
        <w:widowControl w:val="0"/>
        <w:overflowPunct w:val="0"/>
        <w:autoSpaceDE w:val="0"/>
        <w:autoSpaceDN w:val="0"/>
        <w:adjustRightInd w:val="0"/>
        <w:spacing w:after="0" w:line="284" w:lineRule="auto"/>
        <w:jc w:val="both"/>
        <w:rPr>
          <w:rFonts w:ascii="Times New Roman" w:hAnsi="Times New Roman"/>
          <w:sz w:val="24"/>
          <w:szCs w:val="24"/>
        </w:rPr>
      </w:pPr>
      <w:r w:rsidRPr="00734691">
        <w:rPr>
          <w:rFonts w:ascii="Arial" w:hAnsi="Arial" w:cs="Arial"/>
          <w:color w:val="1F1A17"/>
        </w:rPr>
        <w:t>İthalat piyasasında yatırım için yeterli fırsatlar</w:t>
      </w:r>
      <w:r w:rsidR="00445C63">
        <w:rPr>
          <w:rFonts w:ascii="Arial" w:hAnsi="Arial" w:cs="Arial"/>
          <w:color w:val="1F1A17"/>
        </w:rPr>
        <w:t>vardır. Türk</w:t>
      </w:r>
      <w:r>
        <w:rPr>
          <w:rFonts w:ascii="Arial" w:hAnsi="Arial" w:cs="Arial"/>
          <w:color w:val="1F1A17"/>
        </w:rPr>
        <w:t xml:space="preserve"> hükümetinin daha rekabetçi bir enerji sektörüne </w:t>
      </w:r>
      <w:r w:rsidRPr="00734691">
        <w:rPr>
          <w:rFonts w:ascii="Arial" w:hAnsi="Arial" w:cs="Arial"/>
          <w:color w:val="1F1A17"/>
        </w:rPr>
        <w:t>yönelik attığı</w:t>
      </w:r>
      <w:r w:rsidRPr="00734691">
        <w:rPr>
          <w:rFonts w:ascii="Arial" w:hAnsi="Arial" w:cs="Arial"/>
        </w:rPr>
        <w:t xml:space="preserve"> son adım</w:t>
      </w:r>
      <w:r>
        <w:rPr>
          <w:rFonts w:ascii="Arial" w:hAnsi="Arial" w:cs="Arial"/>
        </w:rPr>
        <w:t>lardan biri, enerji borsasının kurulması, planlamanın son aşamasıdır.2014 yılında faaliyete geçmesiyle beraber, enerji borsası sadece piyasanın serbestleştirilmesini geliştirmekle kalmaz, ama aynı zamanda şeffaflığı sağlamak ve arz talep arasında sağlıklı bir denge kurmaya yardımcı olacaktır.</w:t>
      </w:r>
    </w:p>
    <w:p w:rsidR="00036A52" w:rsidRPr="00E43688" w:rsidP="00946B4F">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Büyük bir iç pazara sahip olmanın yanı sıra, Türkiye büyük enerji tüketicileri ve tedarikçileri arasında stratejik olarak yer almakta olup böylece bölgesel enerji merkezi olarak hizmet ver</w:t>
      </w:r>
      <w:r w:rsidR="00946B4F">
        <w:rPr>
          <w:rFonts w:ascii="Arial" w:hAnsi="Arial" w:cs="Arial"/>
          <w:color w:val="1F1A17"/>
        </w:rPr>
        <w:t>mekted</w:t>
      </w:r>
      <w:r>
        <w:rPr>
          <w:rFonts w:ascii="Arial" w:hAnsi="Arial" w:cs="Arial"/>
          <w:color w:val="1F1A17"/>
        </w:rPr>
        <w:t>ir.</w:t>
      </w:r>
    </w:p>
    <w:p w:rsidR="00036A52" w:rsidRPr="00E43688" w:rsidP="00946B4F">
      <w:pPr>
        <w:widowControl w:val="0"/>
        <w:overflowPunct w:val="0"/>
        <w:autoSpaceDE w:val="0"/>
        <w:autoSpaceDN w:val="0"/>
        <w:adjustRightInd w:val="0"/>
        <w:spacing w:after="0" w:line="279" w:lineRule="auto"/>
        <w:jc w:val="both"/>
        <w:rPr>
          <w:rFonts w:ascii="Times New Roman" w:hAnsi="Times New Roman"/>
          <w:sz w:val="24"/>
          <w:szCs w:val="24"/>
        </w:rPr>
      </w:pPr>
      <w:r>
        <w:rPr>
          <w:rFonts w:ascii="Arial" w:hAnsi="Arial" w:cs="Arial"/>
          <w:color w:val="1F1A17"/>
        </w:rPr>
        <w:t>Hâlihazırda</w:t>
      </w:r>
      <w:r>
        <w:rPr>
          <w:rFonts w:ascii="Arial" w:hAnsi="Arial" w:cs="Arial"/>
          <w:color w:val="1F1A17"/>
        </w:rPr>
        <w:t xml:space="preserve"> planlanan </w:t>
      </w:r>
      <w:r>
        <w:rPr>
          <w:rFonts w:ascii="Arial" w:hAnsi="Arial" w:cs="Arial"/>
          <w:color w:val="1F1A17"/>
        </w:rPr>
        <w:t>petrol gaz</w:t>
      </w:r>
      <w:r>
        <w:rPr>
          <w:rFonts w:ascii="Arial" w:hAnsi="Arial" w:cs="Arial"/>
          <w:color w:val="1F1A17"/>
        </w:rPr>
        <w:t xml:space="preserve"> boru hatları, kritik Türk boğazları ve ülkenin kendisindeki umut verici hidrokarbon rezervlerinin buluntuları Türkiye’ye enerji fiyatları</w:t>
      </w:r>
      <w:r w:rsidR="00946B4F">
        <w:rPr>
          <w:rFonts w:ascii="Arial" w:hAnsi="Arial" w:cs="Arial"/>
          <w:color w:val="1F1A17"/>
        </w:rPr>
        <w:t xml:space="preserve"> üzerinde artı bir avantaj vermekte</w:t>
      </w:r>
      <w:r>
        <w:rPr>
          <w:rFonts w:ascii="Arial" w:hAnsi="Arial" w:cs="Arial"/>
          <w:color w:val="1F1A17"/>
        </w:rPr>
        <w:t xml:space="preserve"> ve ağ geçidi durumunu güçlendir</w:t>
      </w:r>
      <w:r w:rsidR="00946B4F">
        <w:rPr>
          <w:rFonts w:ascii="Arial" w:hAnsi="Arial" w:cs="Arial"/>
          <w:color w:val="1F1A17"/>
        </w:rPr>
        <w:t>mekted</w:t>
      </w:r>
      <w:r>
        <w:rPr>
          <w:rFonts w:ascii="Arial" w:hAnsi="Arial" w:cs="Arial"/>
          <w:color w:val="1F1A17"/>
        </w:rPr>
        <w:t>ir.</w:t>
      </w: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Yenilenebilir Enerji</w:t>
      </w:r>
    </w:p>
    <w:p w:rsidR="00036A52" w:rsidRPr="00E43688" w:rsidP="00036A52">
      <w:pPr>
        <w:widowControl w:val="0"/>
        <w:autoSpaceDE w:val="0"/>
        <w:autoSpaceDN w:val="0"/>
        <w:adjustRightInd w:val="0"/>
        <w:spacing w:after="0" w:line="263" w:lineRule="exact"/>
        <w:rPr>
          <w:rFonts w:ascii="Times New Roman" w:hAnsi="Times New Roman"/>
          <w:sz w:val="24"/>
          <w:szCs w:val="24"/>
        </w:rPr>
      </w:pPr>
    </w:p>
    <w:p w:rsidR="00036A52" w:rsidP="00946B4F">
      <w:pPr>
        <w:widowControl w:val="0"/>
        <w:overflowPunct w:val="0"/>
        <w:autoSpaceDE w:val="0"/>
        <w:autoSpaceDN w:val="0"/>
        <w:adjustRightInd w:val="0"/>
        <w:spacing w:after="0" w:line="277" w:lineRule="auto"/>
        <w:jc w:val="both"/>
        <w:rPr>
          <w:rFonts w:ascii="Arial" w:hAnsi="Arial" w:cs="Arial"/>
          <w:b/>
          <w:bCs/>
          <w:color w:val="E87817"/>
        </w:rPr>
      </w:pPr>
      <w:r>
        <w:rPr>
          <w:rFonts w:ascii="Arial" w:hAnsi="Arial" w:cs="Arial"/>
          <w:color w:val="1F1A17"/>
        </w:rPr>
        <w:t xml:space="preserve">Hidro, </w:t>
      </w:r>
      <w:r w:rsidR="00445C63">
        <w:rPr>
          <w:rFonts w:ascii="Arial" w:hAnsi="Arial" w:cs="Arial"/>
          <w:color w:val="1F1A17"/>
        </w:rPr>
        <w:t>rüzgâr</w:t>
      </w:r>
      <w:r>
        <w:rPr>
          <w:rFonts w:ascii="Arial" w:hAnsi="Arial" w:cs="Arial"/>
          <w:color w:val="1F1A17"/>
        </w:rPr>
        <w:t xml:space="preserve">, güneş, jeotermal ve diğerleri gibi enerjinin yenilenebilir formları, Türkiye’de bol </w:t>
      </w:r>
      <w:r w:rsidR="00445C63">
        <w:rPr>
          <w:rFonts w:ascii="Arial" w:hAnsi="Arial" w:cs="Arial"/>
          <w:color w:val="1F1A17"/>
        </w:rPr>
        <w:t>bulunmaktadır. Bunun</w:t>
      </w:r>
      <w:r>
        <w:rPr>
          <w:rFonts w:ascii="Arial" w:hAnsi="Arial" w:cs="Arial"/>
          <w:color w:val="1F1A17"/>
        </w:rPr>
        <w:t xml:space="preserve"> yanında, uygun tarife garantileri tarafından desteklenen cesaret verici politikaların önümüzdeki yıllarda ulusal şebekede paylarını arttırması </w:t>
      </w:r>
      <w:r w:rsidR="00445C63">
        <w:rPr>
          <w:rFonts w:ascii="Arial" w:hAnsi="Arial" w:cs="Arial"/>
          <w:color w:val="1F1A17"/>
        </w:rPr>
        <w:t>beklenmektedir. Atık</w:t>
      </w:r>
      <w:r>
        <w:rPr>
          <w:rFonts w:ascii="Arial" w:hAnsi="Arial" w:cs="Arial"/>
          <w:color w:val="1F1A17"/>
        </w:rPr>
        <w:t xml:space="preserve">, jeotermal ve </w:t>
      </w:r>
      <w:r w:rsidR="00445C63">
        <w:rPr>
          <w:rFonts w:ascii="Arial" w:hAnsi="Arial" w:cs="Arial"/>
          <w:color w:val="1F1A17"/>
        </w:rPr>
        <w:t>rüzgârın</w:t>
      </w:r>
      <w:r>
        <w:rPr>
          <w:rFonts w:ascii="Arial" w:hAnsi="Arial" w:cs="Arial"/>
          <w:color w:val="1F1A17"/>
        </w:rPr>
        <w:t xml:space="preserve"> da </w:t>
      </w:r>
      <w:r w:rsidR="00445C63">
        <w:rPr>
          <w:rFonts w:ascii="Arial" w:hAnsi="Arial" w:cs="Arial"/>
          <w:color w:val="1F1A17"/>
        </w:rPr>
        <w:t>dâhil</w:t>
      </w:r>
      <w:r>
        <w:rPr>
          <w:rFonts w:ascii="Arial" w:hAnsi="Arial" w:cs="Arial"/>
          <w:color w:val="1F1A17"/>
        </w:rPr>
        <w:t xml:space="preserve"> olduğu yenilenebilir maddeler, kurulu kapasitenin 2012 yılı için yalnızca %</w:t>
      </w:r>
      <w:r w:rsidR="00946B4F">
        <w:rPr>
          <w:rFonts w:ascii="Arial" w:hAnsi="Arial" w:cs="Arial"/>
          <w:color w:val="1F1A17"/>
        </w:rPr>
        <w:t xml:space="preserve"> 5’</w:t>
      </w:r>
      <w:r>
        <w:rPr>
          <w:rFonts w:ascii="Arial" w:hAnsi="Arial" w:cs="Arial"/>
          <w:color w:val="1F1A17"/>
        </w:rPr>
        <w:t xml:space="preserve">i olarak hesaplanmıştır.2,261 MW </w:t>
      </w:r>
      <w:r w:rsidR="00946B4F">
        <w:rPr>
          <w:rFonts w:ascii="Arial" w:hAnsi="Arial" w:cs="Arial"/>
          <w:color w:val="1F1A17"/>
        </w:rPr>
        <w:t xml:space="preserve">(Mega Watt) </w:t>
      </w:r>
      <w:r>
        <w:rPr>
          <w:rFonts w:ascii="Arial" w:hAnsi="Arial" w:cs="Arial"/>
          <w:color w:val="1F1A17"/>
        </w:rPr>
        <w:t xml:space="preserve">ile en yüksek olan </w:t>
      </w:r>
      <w:r w:rsidR="00445C63">
        <w:rPr>
          <w:rFonts w:ascii="Arial" w:hAnsi="Arial" w:cs="Arial"/>
          <w:color w:val="1F1A17"/>
        </w:rPr>
        <w:t>rüzgâr</w:t>
      </w:r>
      <w:r>
        <w:rPr>
          <w:rFonts w:ascii="Arial" w:hAnsi="Arial" w:cs="Arial"/>
          <w:color w:val="1F1A17"/>
        </w:rPr>
        <w:t xml:space="preserve"> enerjisidir.</w:t>
      </w:r>
    </w:p>
    <w:p w:rsidR="00036A52" w:rsidP="00036A52">
      <w:pPr>
        <w:widowControl w:val="0"/>
        <w:autoSpaceDE w:val="0"/>
        <w:autoSpaceDN w:val="0"/>
        <w:adjustRightInd w:val="0"/>
        <w:spacing w:after="0" w:line="200" w:lineRule="exact"/>
        <w:rPr>
          <w:rFonts w:ascii="Arial" w:hAnsi="Arial" w:cs="Arial"/>
          <w:b/>
          <w:bCs/>
          <w:color w:val="E87817"/>
        </w:rPr>
      </w:pPr>
    </w:p>
    <w:p w:rsidR="00036A52" w:rsidP="00036A52">
      <w:pPr>
        <w:widowControl w:val="0"/>
        <w:autoSpaceDE w:val="0"/>
        <w:autoSpaceDN w:val="0"/>
        <w:adjustRightInd w:val="0"/>
        <w:spacing w:after="0" w:line="200" w:lineRule="exact"/>
        <w:rPr>
          <w:rFonts w:ascii="Arial" w:hAnsi="Arial" w:cs="Arial"/>
          <w:b/>
          <w:bCs/>
          <w:color w:val="E87817"/>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38658D" w:rsidP="00036A52">
      <w:pPr>
        <w:widowControl w:val="0"/>
        <w:autoSpaceDE w:val="0"/>
        <w:autoSpaceDN w:val="0"/>
        <w:adjustRightInd w:val="0"/>
        <w:spacing w:after="0" w:line="240" w:lineRule="auto"/>
        <w:rPr>
          <w:rFonts w:ascii="Times New Roman" w:hAnsi="Times New Roman"/>
          <w:sz w:val="24"/>
          <w:szCs w:val="24"/>
        </w:rPr>
      </w:pPr>
      <w:r w:rsidRPr="0038658D">
        <w:rPr>
          <w:rFonts w:ascii="Arial" w:hAnsi="Arial" w:cs="Arial"/>
          <w:b/>
          <w:bCs/>
          <w:color w:val="E87817"/>
        </w:rPr>
        <w:t>2012</w:t>
      </w:r>
      <w:r>
        <w:rPr>
          <w:rFonts w:ascii="Arial" w:hAnsi="Arial" w:cs="Arial"/>
          <w:b/>
          <w:bCs/>
          <w:color w:val="E87817"/>
        </w:rPr>
        <w:t xml:space="preserve"> Yenile</w:t>
      </w:r>
      <w:r w:rsidR="00445C63">
        <w:rPr>
          <w:rFonts w:ascii="Arial" w:hAnsi="Arial" w:cs="Arial"/>
          <w:b/>
          <w:bCs/>
          <w:color w:val="E87817"/>
        </w:rPr>
        <w:t>ne</w:t>
      </w:r>
      <w:r>
        <w:rPr>
          <w:rFonts w:ascii="Arial" w:hAnsi="Arial" w:cs="Arial"/>
          <w:b/>
          <w:bCs/>
          <w:color w:val="E87817"/>
        </w:rPr>
        <w:t xml:space="preserve">bilir Payı </w:t>
      </w:r>
      <w:r w:rsidR="00445C63">
        <w:rPr>
          <w:rFonts w:ascii="Arial" w:hAnsi="Arial" w:cs="Arial"/>
          <w:b/>
          <w:bCs/>
          <w:color w:val="E87817"/>
        </w:rPr>
        <w:t>Dâhil</w:t>
      </w:r>
      <w:r>
        <w:rPr>
          <w:rFonts w:ascii="Arial" w:hAnsi="Arial" w:cs="Arial"/>
          <w:b/>
          <w:bCs/>
          <w:color w:val="E87817"/>
        </w:rPr>
        <w:t xml:space="preserve"> Türkiye’nin Kurulu Kapasitesi</w:t>
      </w:r>
    </w:p>
    <w:p w:rsidR="00036A52" w:rsidRPr="00E43688" w:rsidP="00036A52">
      <w:pPr>
        <w:widowControl w:val="0"/>
        <w:autoSpaceDE w:val="0"/>
        <w:autoSpaceDN w:val="0"/>
        <w:adjustRightInd w:val="0"/>
        <w:spacing w:after="0" w:line="277" w:lineRule="exact"/>
        <w:rPr>
          <w:rFonts w:ascii="Times New Roman" w:hAnsi="Times New Roman"/>
          <w:sz w:val="24"/>
          <w:szCs w:val="24"/>
        </w:rPr>
      </w:pPr>
    </w:p>
    <w:tbl>
      <w:tblPr>
        <w:tblW w:w="0" w:type="auto"/>
        <w:tblInd w:w="500" w:type="dxa"/>
        <w:tblLayout w:type="fixed"/>
        <w:tblCellMar>
          <w:left w:w="0" w:type="dxa"/>
          <w:right w:w="0" w:type="dxa"/>
        </w:tblCellMar>
        <w:tblLook w:val="0000"/>
      </w:tblPr>
      <w:tblGrid>
        <w:gridCol w:w="120"/>
        <w:gridCol w:w="240"/>
        <w:gridCol w:w="280"/>
        <w:gridCol w:w="580"/>
        <w:gridCol w:w="580"/>
        <w:gridCol w:w="920"/>
        <w:gridCol w:w="540"/>
        <w:gridCol w:w="600"/>
        <w:gridCol w:w="560"/>
        <w:gridCol w:w="920"/>
        <w:gridCol w:w="820"/>
        <w:gridCol w:w="60"/>
        <w:gridCol w:w="600"/>
        <w:gridCol w:w="200"/>
        <w:gridCol w:w="20"/>
      </w:tblGrid>
      <w:tr w:rsidTr="00036A52">
        <w:tblPrEx>
          <w:tblW w:w="0" w:type="auto"/>
          <w:tblInd w:w="500" w:type="dxa"/>
          <w:tblLayout w:type="fixed"/>
          <w:tblCellMar>
            <w:left w:w="0" w:type="dxa"/>
            <w:right w:w="0" w:type="dxa"/>
          </w:tblCellMar>
          <w:tblLook w:val="0000"/>
        </w:tblPrEx>
        <w:trPr>
          <w:trHeight w:val="18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P="00036A52">
            <w:pPr>
              <w:widowControl w:val="0"/>
              <w:autoSpaceDE w:val="0"/>
              <w:autoSpaceDN w:val="0"/>
              <w:adjustRightInd w:val="0"/>
              <w:spacing w:after="0" w:line="240" w:lineRule="auto"/>
              <w:rPr>
                <w:rFonts w:ascii="Times New Roman" w:hAnsi="Times New Roman"/>
                <w:sz w:val="5"/>
                <w:szCs w:val="5"/>
              </w:rPr>
            </w:pPr>
          </w:p>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1F1A17"/>
                <w:w w:val="98"/>
                <w:sz w:val="14"/>
                <w:szCs w:val="14"/>
              </w:rPr>
              <w:t>Yenilenebilir</w:t>
            </w: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470"/>
              <w:jc w:val="right"/>
              <w:rPr>
                <w:rFonts w:ascii="Times New Roman" w:hAnsi="Times New Roman"/>
                <w:sz w:val="24"/>
                <w:szCs w:val="24"/>
              </w:rPr>
            </w:pPr>
            <w:r w:rsidRPr="00E43688">
              <w:rPr>
                <w:rFonts w:ascii="Arial" w:hAnsi="Arial" w:cs="Arial"/>
                <w:color w:val="FFFFFF"/>
                <w:sz w:val="14"/>
                <w:szCs w:val="14"/>
              </w:rPr>
              <w:t>14%</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single" w:sz="8" w:space="0" w:color="96ADBF"/>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43"/>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3"/>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140" w:lineRule="exact"/>
              <w:ind w:left="80"/>
              <w:rPr>
                <w:rFonts w:ascii="Times New Roman" w:hAnsi="Times New Roman"/>
                <w:sz w:val="24"/>
                <w:szCs w:val="24"/>
              </w:rPr>
            </w:pPr>
            <w:r w:rsidRPr="00E43688">
              <w:rPr>
                <w:rFonts w:ascii="Arial" w:hAnsi="Arial" w:cs="Arial"/>
                <w:color w:val="1F1A17"/>
                <w:sz w:val="14"/>
                <w:szCs w:val="14"/>
              </w:rPr>
              <w:t>L</w:t>
            </w:r>
            <w:r>
              <w:rPr>
                <w:rFonts w:ascii="Arial" w:hAnsi="Arial" w:cs="Arial"/>
                <w:color w:val="1F1A17"/>
                <w:sz w:val="14"/>
                <w:szCs w:val="14"/>
              </w:rPr>
              <w:t>inyit</w:t>
            </w:r>
          </w:p>
        </w:tc>
        <w:tc>
          <w:tcPr>
            <w:tcW w:w="5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0"/>
              <w:jc w:val="right"/>
              <w:rPr>
                <w:rFonts w:ascii="Times New Roman" w:hAnsi="Times New Roman"/>
                <w:sz w:val="24"/>
                <w:szCs w:val="24"/>
              </w:rPr>
            </w:pPr>
            <w:r w:rsidRPr="00E43688">
              <w:rPr>
                <w:rFonts w:ascii="Arial" w:hAnsi="Arial" w:cs="Arial"/>
                <w:color w:val="1F1A17"/>
                <w:sz w:val="14"/>
                <w:szCs w:val="14"/>
              </w:rPr>
              <w:t>34%</w:t>
            </w: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34" w:lineRule="exact"/>
              <w:jc w:val="right"/>
              <w:rPr>
                <w:rFonts w:ascii="Times New Roman" w:hAnsi="Times New Roman"/>
                <w:sz w:val="24"/>
                <w:szCs w:val="24"/>
              </w:rPr>
            </w:pPr>
            <w:r w:rsidRPr="00E43688">
              <w:rPr>
                <w:rFonts w:ascii="Arial" w:hAnsi="Arial" w:cs="Arial"/>
                <w:color w:val="1F1A17"/>
                <w:sz w:val="14"/>
                <w:szCs w:val="14"/>
              </w:rPr>
              <w:t xml:space="preserve">9% </w:t>
            </w:r>
            <w:r w:rsidRPr="00E43688">
              <w:rPr>
                <w:rFonts w:ascii="Arial" w:hAnsi="Arial" w:cs="Arial"/>
                <w:color w:val="1F1A17"/>
                <w:sz w:val="27"/>
                <w:szCs w:val="27"/>
                <w:vertAlign w:val="subscript"/>
              </w:rPr>
              <w:t>2%</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70"/>
              <w:jc w:val="right"/>
              <w:rPr>
                <w:rFonts w:ascii="Times New Roman" w:hAnsi="Times New Roman"/>
                <w:sz w:val="24"/>
                <w:szCs w:val="24"/>
              </w:rPr>
            </w:pPr>
            <w:r w:rsidRPr="00E43688">
              <w:rPr>
                <w:rFonts w:ascii="Arial" w:hAnsi="Arial" w:cs="Arial"/>
                <w:color w:val="1F1A17"/>
                <w:sz w:val="14"/>
                <w:szCs w:val="14"/>
              </w:rPr>
              <w:t>6%</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0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color w:val="1F1A17"/>
                <w:sz w:val="14"/>
                <w:szCs w:val="14"/>
              </w:rPr>
              <w:t>Atık</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77"/>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single" w:sz="8" w:space="0" w:color="969494"/>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shd w:val="clear" w:color="auto" w:fill="F5C482"/>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9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1F1A17"/>
                <w:sz w:val="14"/>
                <w:szCs w:val="14"/>
              </w:rPr>
              <w:t>Doğalgaz</w:t>
            </w: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single" w:sz="8" w:space="0" w:color="E87817"/>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10"/>
              <w:jc w:val="right"/>
              <w:rPr>
                <w:rFonts w:ascii="Times New Roman" w:hAnsi="Times New Roman"/>
                <w:sz w:val="24"/>
                <w:szCs w:val="24"/>
              </w:rPr>
            </w:pPr>
            <w:r w:rsidRPr="00E43688">
              <w:rPr>
                <w:rFonts w:ascii="Arial" w:hAnsi="Arial" w:cs="Arial"/>
                <w:color w:val="1F1A17"/>
                <w:sz w:val="14"/>
                <w:szCs w:val="14"/>
              </w:rPr>
              <w:t>5%</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0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color w:val="1F1A17"/>
                <w:w w:val="98"/>
                <w:sz w:val="14"/>
                <w:szCs w:val="14"/>
              </w:rPr>
              <w:t>Jeotermal</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24"/>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47"/>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1F1A17"/>
                <w:sz w:val="14"/>
                <w:szCs w:val="14"/>
              </w:rPr>
              <w:t>Antrasit</w:t>
            </w: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right"/>
              <w:rPr>
                <w:rFonts w:ascii="Times New Roman" w:hAnsi="Times New Roman"/>
                <w:sz w:val="24"/>
                <w:szCs w:val="24"/>
              </w:rPr>
            </w:pPr>
            <w:r w:rsidRPr="00E43688">
              <w:rPr>
                <w:rFonts w:ascii="Arial" w:hAnsi="Arial" w:cs="Arial"/>
                <w:color w:val="FFFFFF"/>
                <w:sz w:val="14"/>
                <w:szCs w:val="14"/>
              </w:rPr>
              <w:t>88%</w:t>
            </w:r>
          </w:p>
        </w:tc>
        <w:tc>
          <w:tcPr>
            <w:tcW w:w="8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90"/>
              <w:jc w:val="right"/>
              <w:rPr>
                <w:rFonts w:ascii="Times New Roman" w:hAnsi="Times New Roman"/>
                <w:sz w:val="24"/>
                <w:szCs w:val="24"/>
              </w:rPr>
            </w:pPr>
            <w:r w:rsidRPr="00E43688">
              <w:rPr>
                <w:rFonts w:ascii="Arial" w:hAnsi="Arial" w:cs="Arial"/>
                <w:color w:val="1F1A17"/>
                <w:sz w:val="14"/>
                <w:szCs w:val="14"/>
              </w:rPr>
              <w:t>6%</w:t>
            </w:r>
          </w:p>
        </w:tc>
        <w:tc>
          <w:tcPr>
            <w:tcW w:w="60" w:type="dxa"/>
            <w:tcBorders>
              <w:top w:val="nil"/>
              <w:left w:val="nil"/>
              <w:bottom w:val="nil"/>
              <w:right w:val="nil"/>
            </w:tcBorders>
            <w:shd w:val="clear" w:color="auto" w:fill="969494"/>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43"/>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0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color w:val="1F1A17"/>
                <w:sz w:val="14"/>
                <w:szCs w:val="14"/>
              </w:rPr>
              <w:t>Rüzgâr</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08"/>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sidRPr="00E43688">
              <w:rPr>
                <w:rFonts w:ascii="Arial" w:hAnsi="Arial" w:cs="Arial"/>
                <w:color w:val="1F1A17"/>
                <w:sz w:val="14"/>
                <w:szCs w:val="14"/>
              </w:rPr>
              <w:t>H</w:t>
            </w:r>
            <w:r>
              <w:rPr>
                <w:rFonts w:ascii="Arial" w:hAnsi="Arial" w:cs="Arial"/>
                <w:color w:val="1F1A17"/>
                <w:sz w:val="14"/>
                <w:szCs w:val="14"/>
              </w:rPr>
              <w:t>idro</w:t>
            </w: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single" w:sz="8" w:space="0" w:color="E878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39"/>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0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8"/>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color w:val="1F1A17"/>
                <w:sz w:val="14"/>
                <w:szCs w:val="14"/>
              </w:rPr>
              <w:t>Akaryakıt</w:t>
            </w: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530"/>
              <w:jc w:val="right"/>
              <w:rPr>
                <w:rFonts w:ascii="Times New Roman" w:hAnsi="Times New Roman"/>
                <w:sz w:val="24"/>
                <w:szCs w:val="24"/>
              </w:rPr>
            </w:pPr>
            <w:r w:rsidRPr="00E43688">
              <w:rPr>
                <w:rFonts w:ascii="Arial" w:hAnsi="Arial" w:cs="Arial"/>
                <w:color w:val="1F1A17"/>
                <w:sz w:val="14"/>
                <w:szCs w:val="14"/>
              </w:rPr>
              <w:t>36%</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single" w:sz="8" w:space="0" w:color="ABA8A8"/>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1"/>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60" w:type="dxa"/>
            <w:gridSpan w:val="2"/>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552"/>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5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0"/>
              <w:jc w:val="right"/>
              <w:rPr>
                <w:rFonts w:ascii="Times New Roman" w:hAnsi="Times New Roman"/>
                <w:sz w:val="24"/>
                <w:szCs w:val="24"/>
              </w:rPr>
            </w:pPr>
            <w:r>
              <w:rPr>
                <w:rFonts w:ascii="Arial" w:hAnsi="Arial" w:cs="Arial"/>
                <w:b/>
                <w:bCs/>
                <w:color w:val="FFFFFF"/>
                <w:w w:val="99"/>
                <w:sz w:val="14"/>
                <w:szCs w:val="14"/>
              </w:rPr>
              <w:t>Doğa</w:t>
            </w:r>
            <w:r w:rsidRPr="00E43688">
              <w:rPr>
                <w:rFonts w:ascii="Arial" w:hAnsi="Arial" w:cs="Arial"/>
                <w:b/>
                <w:bCs/>
                <w:color w:val="FFFFFF"/>
                <w:w w:val="99"/>
                <w:sz w:val="14"/>
                <w:szCs w:val="14"/>
              </w:rPr>
              <w:t>l</w:t>
            </w:r>
          </w:p>
        </w:tc>
        <w:tc>
          <w:tcPr>
            <w:tcW w:w="920" w:type="dxa"/>
            <w:tcBorders>
              <w:top w:val="nil"/>
              <w:left w:val="nil"/>
              <w:bottom w:val="nil"/>
              <w:right w:val="nil"/>
            </w:tcBorders>
            <w:vAlign w:val="bottom"/>
          </w:tcPr>
          <w:p w:rsidR="00036A52" w:rsidP="00036A52">
            <w:pPr>
              <w:widowControl w:val="0"/>
              <w:autoSpaceDE w:val="0"/>
              <w:autoSpaceDN w:val="0"/>
              <w:adjustRightInd w:val="0"/>
              <w:spacing w:after="0" w:line="240" w:lineRule="auto"/>
              <w:ind w:right="10"/>
              <w:jc w:val="center"/>
              <w:rPr>
                <w:rFonts w:ascii="Arial" w:hAnsi="Arial" w:cs="Arial"/>
                <w:b/>
                <w:bCs/>
                <w:color w:val="FFFFFF"/>
                <w:sz w:val="14"/>
                <w:szCs w:val="14"/>
              </w:rPr>
            </w:pPr>
          </w:p>
          <w:p w:rsidR="00036A52" w:rsidRPr="00E43688" w:rsidP="00036A52">
            <w:pPr>
              <w:widowControl w:val="0"/>
              <w:autoSpaceDE w:val="0"/>
              <w:autoSpaceDN w:val="0"/>
              <w:adjustRightInd w:val="0"/>
              <w:spacing w:after="0" w:line="240" w:lineRule="auto"/>
              <w:ind w:right="10"/>
              <w:jc w:val="center"/>
              <w:rPr>
                <w:rFonts w:ascii="Times New Roman" w:hAnsi="Times New Roman"/>
                <w:sz w:val="24"/>
                <w:szCs w:val="24"/>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880" w:type="dxa"/>
            <w:gridSpan w:val="2"/>
            <w:vMerge w:val="restart"/>
            <w:tcBorders>
              <w:top w:val="nil"/>
              <w:left w:val="nil"/>
              <w:bottom w:val="nil"/>
              <w:right w:val="nil"/>
            </w:tcBorders>
            <w:vAlign w:val="bottom"/>
          </w:tcPr>
          <w:p w:rsidR="00036A52" w:rsidRPr="00006369" w:rsidP="00036A52">
            <w:pPr>
              <w:widowControl w:val="0"/>
              <w:autoSpaceDE w:val="0"/>
              <w:autoSpaceDN w:val="0"/>
              <w:adjustRightInd w:val="0"/>
              <w:spacing w:after="0" w:line="240" w:lineRule="auto"/>
              <w:jc w:val="center"/>
              <w:rPr>
                <w:rFonts w:ascii="Times New Roman" w:hAnsi="Times New Roman"/>
                <w:sz w:val="12"/>
                <w:szCs w:val="12"/>
              </w:rPr>
            </w:pPr>
            <w:r w:rsidRPr="00006369">
              <w:rPr>
                <w:rFonts w:ascii="Arial" w:hAnsi="Arial" w:cs="Arial"/>
                <w:b/>
                <w:bCs/>
                <w:color w:val="FFFFFF"/>
                <w:sz w:val="12"/>
                <w:szCs w:val="12"/>
              </w:rPr>
              <w:t>Diğer</w:t>
            </w: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51"/>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ind w:left="80"/>
              <w:rPr>
                <w:rFonts w:ascii="Times New Roman" w:hAnsi="Times New Roman"/>
                <w:sz w:val="24"/>
                <w:szCs w:val="24"/>
              </w:rPr>
            </w:pPr>
            <w:r w:rsidRPr="00E43688">
              <w:rPr>
                <w:rFonts w:ascii="Arial" w:hAnsi="Arial" w:cs="Arial"/>
                <w:b/>
                <w:bCs/>
                <w:color w:val="FFFFFF"/>
                <w:sz w:val="14"/>
                <w:szCs w:val="14"/>
              </w:rPr>
              <w:t>H</w:t>
            </w:r>
            <w:r>
              <w:rPr>
                <w:rFonts w:ascii="Arial" w:hAnsi="Arial" w:cs="Arial"/>
                <w:b/>
                <w:bCs/>
                <w:color w:val="FFFFFF"/>
                <w:sz w:val="14"/>
                <w:szCs w:val="14"/>
              </w:rPr>
              <w:t>idro</w:t>
            </w: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jc w:val="center"/>
              <w:rPr>
                <w:rFonts w:ascii="Times New Roman" w:hAnsi="Times New Roman"/>
                <w:sz w:val="24"/>
                <w:szCs w:val="24"/>
              </w:rPr>
            </w:pPr>
            <w:r w:rsidRPr="00E43688">
              <w:rPr>
                <w:rFonts w:ascii="Arial" w:hAnsi="Arial" w:cs="Arial"/>
                <w:b/>
                <w:bCs/>
                <w:color w:val="FFFFFF"/>
                <w:w w:val="97"/>
                <w:sz w:val="14"/>
                <w:szCs w:val="14"/>
              </w:rPr>
              <w:t>(</w:t>
            </w:r>
            <w:r>
              <w:rPr>
                <w:rFonts w:ascii="Arial" w:hAnsi="Arial" w:cs="Arial"/>
                <w:b/>
                <w:bCs/>
                <w:color w:val="FFFFFF"/>
                <w:w w:val="97"/>
                <w:sz w:val="14"/>
                <w:szCs w:val="14"/>
              </w:rPr>
              <w:t>Yerli</w:t>
            </w:r>
            <w:r w:rsidRPr="00E43688">
              <w:rPr>
                <w:rFonts w:ascii="Arial" w:hAnsi="Arial" w:cs="Arial"/>
                <w:b/>
                <w:bCs/>
                <w:color w:val="FFFFFF"/>
                <w:w w:val="97"/>
                <w:sz w:val="14"/>
                <w:szCs w:val="14"/>
              </w:rPr>
              <w:t>&amp;</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jc w:val="center"/>
              <w:rPr>
                <w:rFonts w:ascii="Times New Roman" w:hAnsi="Times New Roman"/>
                <w:sz w:val="24"/>
                <w:szCs w:val="24"/>
              </w:rPr>
            </w:pPr>
            <w:r w:rsidRPr="00E43688">
              <w:rPr>
                <w:rFonts w:ascii="Arial" w:hAnsi="Arial" w:cs="Arial"/>
                <w:b/>
                <w:bCs/>
                <w:color w:val="FFFFFF"/>
                <w:sz w:val="14"/>
                <w:szCs w:val="14"/>
              </w:rPr>
              <w:t>Li</w:t>
            </w:r>
            <w:r>
              <w:rPr>
                <w:rFonts w:ascii="Arial" w:hAnsi="Arial" w:cs="Arial"/>
                <w:b/>
                <w:bCs/>
                <w:color w:val="FFFFFF"/>
                <w:sz w:val="14"/>
                <w:szCs w:val="14"/>
              </w:rPr>
              <w:t>nyit</w:t>
            </w:r>
          </w:p>
        </w:tc>
        <w:tc>
          <w:tcPr>
            <w:tcW w:w="600" w:type="dxa"/>
            <w:tcBorders>
              <w:top w:val="nil"/>
              <w:left w:val="nil"/>
              <w:bottom w:val="nil"/>
              <w:right w:val="nil"/>
            </w:tcBorders>
            <w:vAlign w:val="bottom"/>
          </w:tcPr>
          <w:p w:rsidR="00036A52" w:rsidRPr="00006369" w:rsidP="00036A52">
            <w:pPr>
              <w:widowControl w:val="0"/>
              <w:autoSpaceDE w:val="0"/>
              <w:autoSpaceDN w:val="0"/>
              <w:adjustRightInd w:val="0"/>
              <w:spacing w:after="0" w:line="150" w:lineRule="exact"/>
              <w:jc w:val="center"/>
              <w:rPr>
                <w:rFonts w:ascii="Times New Roman" w:hAnsi="Times New Roman"/>
                <w:sz w:val="13"/>
                <w:szCs w:val="13"/>
              </w:rPr>
            </w:pPr>
            <w:r w:rsidRPr="00006369">
              <w:rPr>
                <w:rFonts w:ascii="Arial" w:hAnsi="Arial" w:cs="Arial"/>
                <w:b/>
                <w:bCs/>
                <w:color w:val="FFFFFF"/>
                <w:w w:val="97"/>
                <w:sz w:val="13"/>
                <w:szCs w:val="13"/>
              </w:rPr>
              <w:t>Akaryakıt</w:t>
            </w: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jc w:val="center"/>
              <w:rPr>
                <w:rFonts w:ascii="Times New Roman" w:hAnsi="Times New Roman"/>
                <w:sz w:val="24"/>
                <w:szCs w:val="24"/>
              </w:rPr>
            </w:pPr>
            <w:r>
              <w:rPr>
                <w:rFonts w:ascii="Arial" w:hAnsi="Arial" w:cs="Arial"/>
                <w:b/>
                <w:bCs/>
                <w:color w:val="FFFFFF"/>
                <w:w w:val="99"/>
                <w:sz w:val="14"/>
                <w:szCs w:val="14"/>
              </w:rPr>
              <w:t>Rüzgâr</w:t>
            </w: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jc w:val="right"/>
              <w:rPr>
                <w:rFonts w:ascii="Times New Roman" w:hAnsi="Times New Roman"/>
                <w:sz w:val="24"/>
                <w:szCs w:val="24"/>
              </w:rPr>
            </w:pPr>
            <w:r>
              <w:rPr>
                <w:rFonts w:ascii="Arial" w:hAnsi="Arial" w:cs="Arial"/>
                <w:b/>
                <w:bCs/>
                <w:color w:val="FFFFFF"/>
                <w:sz w:val="14"/>
                <w:szCs w:val="14"/>
              </w:rPr>
              <w:t>Jeoter</w:t>
            </w:r>
            <w:r w:rsidRPr="00E43688">
              <w:rPr>
                <w:rFonts w:ascii="Arial" w:hAnsi="Arial" w:cs="Arial"/>
                <w:b/>
                <w:bCs/>
                <w:color w:val="FFFFFF"/>
                <w:sz w:val="14"/>
                <w:szCs w:val="14"/>
              </w:rPr>
              <w:t>mal</w:t>
            </w:r>
          </w:p>
        </w:tc>
        <w:tc>
          <w:tcPr>
            <w:tcW w:w="880" w:type="dxa"/>
            <w:gridSpan w:val="2"/>
            <w:vMerge/>
            <w:tcBorders>
              <w:top w:val="nil"/>
              <w:left w:val="nil"/>
              <w:bottom w:val="nil"/>
              <w:right w:val="nil"/>
            </w:tcBorders>
            <w:vAlign w:val="bottom"/>
          </w:tcPr>
          <w:p w:rsidR="00036A52" w:rsidRPr="00006369" w:rsidP="00036A52">
            <w:pPr>
              <w:widowControl w:val="0"/>
              <w:autoSpaceDE w:val="0"/>
              <w:autoSpaceDN w:val="0"/>
              <w:adjustRightInd w:val="0"/>
              <w:spacing w:after="0" w:line="240" w:lineRule="auto"/>
              <w:rPr>
                <w:rFonts w:ascii="Times New Roman" w:hAnsi="Times New Roman"/>
                <w:sz w:val="12"/>
                <w:szCs w:val="12"/>
              </w:rPr>
            </w:pPr>
          </w:p>
        </w:tc>
        <w:tc>
          <w:tcPr>
            <w:tcW w:w="80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150" w:lineRule="exact"/>
              <w:ind w:right="200"/>
              <w:jc w:val="center"/>
              <w:rPr>
                <w:rFonts w:ascii="Times New Roman" w:hAnsi="Times New Roman"/>
                <w:sz w:val="24"/>
                <w:szCs w:val="24"/>
              </w:rPr>
            </w:pPr>
            <w:r w:rsidRPr="00E43688">
              <w:rPr>
                <w:rFonts w:ascii="Arial" w:hAnsi="Arial" w:cs="Arial"/>
                <w:b/>
                <w:bCs/>
                <w:color w:val="FFFFFF"/>
                <w:w w:val="95"/>
                <w:sz w:val="14"/>
                <w:szCs w:val="14"/>
              </w:rPr>
              <w:t>T</w:t>
            </w:r>
            <w:r>
              <w:rPr>
                <w:rFonts w:ascii="Arial" w:hAnsi="Arial" w:cs="Arial"/>
                <w:b/>
                <w:bCs/>
                <w:color w:val="FFFFFF"/>
                <w:w w:val="95"/>
                <w:sz w:val="14"/>
                <w:szCs w:val="14"/>
              </w:rPr>
              <w:t>oplam</w:t>
            </w: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58"/>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158" w:lineRule="exact"/>
              <w:ind w:right="90"/>
              <w:jc w:val="right"/>
              <w:rPr>
                <w:rFonts w:ascii="Times New Roman" w:hAnsi="Times New Roman"/>
                <w:sz w:val="24"/>
                <w:szCs w:val="24"/>
              </w:rPr>
            </w:pPr>
            <w:r w:rsidRPr="00E43688">
              <w:rPr>
                <w:rFonts w:ascii="Arial" w:hAnsi="Arial" w:cs="Arial"/>
                <w:b/>
                <w:bCs/>
                <w:color w:val="FFFFFF"/>
                <w:sz w:val="14"/>
                <w:szCs w:val="14"/>
              </w:rPr>
              <w:t>Ga</w:t>
            </w:r>
            <w:r>
              <w:rPr>
                <w:rFonts w:ascii="Arial" w:hAnsi="Arial" w:cs="Arial"/>
                <w:b/>
                <w:bCs/>
                <w:color w:val="FFFFFF"/>
                <w:sz w:val="14"/>
                <w:szCs w:val="14"/>
              </w:rPr>
              <w:t>z*</w:t>
            </w: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FFFFFF"/>
                <w:sz w:val="14"/>
                <w:szCs w:val="14"/>
              </w:rPr>
              <w:t>İthal</w:t>
            </w:r>
            <w:r w:rsidRPr="00E43688">
              <w:rPr>
                <w:rFonts w:ascii="Arial" w:hAnsi="Arial" w:cs="Arial"/>
                <w:b/>
                <w:bCs/>
                <w:color w:val="FFFFFF"/>
                <w:sz w:val="14"/>
                <w:szCs w:val="14"/>
              </w:rPr>
              <w:t>)</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vAlign w:val="bottom"/>
          </w:tcPr>
          <w:p w:rsidR="00036A52" w:rsidRPr="00006369" w:rsidP="00036A52">
            <w:pPr>
              <w:widowControl w:val="0"/>
              <w:autoSpaceDE w:val="0"/>
              <w:autoSpaceDN w:val="0"/>
              <w:adjustRightInd w:val="0"/>
              <w:spacing w:after="0" w:line="158" w:lineRule="exact"/>
              <w:jc w:val="center"/>
              <w:rPr>
                <w:rFonts w:ascii="Times New Roman" w:hAnsi="Times New Roman"/>
                <w:sz w:val="12"/>
                <w:szCs w:val="12"/>
              </w:rPr>
            </w:pPr>
            <w:r w:rsidRPr="00006369">
              <w:rPr>
                <w:rFonts w:ascii="Arial" w:hAnsi="Arial" w:cs="Arial"/>
                <w:b/>
                <w:bCs/>
                <w:color w:val="FFFFFF"/>
                <w:w w:val="98"/>
                <w:sz w:val="12"/>
                <w:szCs w:val="12"/>
              </w:rPr>
              <w:t>Yenilenebilirler</w:t>
            </w: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34"/>
        </w:trPr>
        <w:tc>
          <w:tcPr>
            <w:tcW w:w="640" w:type="dxa"/>
            <w:gridSpan w:val="3"/>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F1A17"/>
                <w:sz w:val="14"/>
                <w:szCs w:val="14"/>
              </w:rPr>
              <w:t>Kurulu</w:t>
            </w: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0" w:lineRule="exact"/>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31"/>
        </w:trPr>
        <w:tc>
          <w:tcPr>
            <w:tcW w:w="640" w:type="dxa"/>
            <w:gridSpan w:val="3"/>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83"/>
        </w:trPr>
        <w:tc>
          <w:tcPr>
            <w:tcW w:w="640" w:type="dxa"/>
            <w:gridSpan w:val="3"/>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1F1A17"/>
                <w:sz w:val="14"/>
                <w:szCs w:val="14"/>
              </w:rPr>
              <w:t>Kapasite</w:t>
            </w:r>
          </w:p>
        </w:tc>
        <w:tc>
          <w:tcPr>
            <w:tcW w:w="5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60"/>
              <w:rPr>
                <w:rFonts w:ascii="Times New Roman" w:hAnsi="Times New Roman"/>
                <w:sz w:val="24"/>
                <w:szCs w:val="24"/>
              </w:rPr>
            </w:pPr>
            <w:r w:rsidRPr="00E43688">
              <w:rPr>
                <w:rFonts w:ascii="Arial" w:hAnsi="Arial" w:cs="Arial"/>
                <w:color w:val="1F1A17"/>
                <w:sz w:val="14"/>
                <w:szCs w:val="14"/>
              </w:rPr>
              <w:t>19,609</w:t>
            </w:r>
          </w:p>
        </w:tc>
        <w:tc>
          <w:tcPr>
            <w:tcW w:w="58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30"/>
              <w:jc w:val="right"/>
              <w:rPr>
                <w:rFonts w:ascii="Times New Roman" w:hAnsi="Times New Roman"/>
                <w:sz w:val="24"/>
                <w:szCs w:val="24"/>
              </w:rPr>
            </w:pPr>
            <w:r w:rsidRPr="00E43688">
              <w:rPr>
                <w:rFonts w:ascii="Arial" w:hAnsi="Arial" w:cs="Arial"/>
                <w:color w:val="1F1A17"/>
                <w:sz w:val="14"/>
                <w:szCs w:val="14"/>
              </w:rPr>
              <w:t>20,439</w:t>
            </w: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50"/>
              <w:jc w:val="right"/>
              <w:rPr>
                <w:rFonts w:ascii="Times New Roman" w:hAnsi="Times New Roman"/>
                <w:sz w:val="24"/>
                <w:szCs w:val="24"/>
              </w:rPr>
            </w:pPr>
            <w:r w:rsidRPr="00E43688">
              <w:rPr>
                <w:rFonts w:ascii="Arial" w:hAnsi="Arial" w:cs="Arial"/>
                <w:color w:val="1F1A17"/>
                <w:sz w:val="14"/>
                <w:szCs w:val="14"/>
              </w:rPr>
              <w:t>5,058</w:t>
            </w:r>
          </w:p>
        </w:tc>
        <w:tc>
          <w:tcPr>
            <w:tcW w:w="54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w w:val="96"/>
                <w:sz w:val="14"/>
                <w:szCs w:val="14"/>
              </w:rPr>
              <w:t>8,143</w:t>
            </w:r>
          </w:p>
        </w:tc>
        <w:tc>
          <w:tcPr>
            <w:tcW w:w="60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w w:val="96"/>
                <w:sz w:val="14"/>
                <w:szCs w:val="14"/>
              </w:rPr>
              <w:t>1,227</w:t>
            </w:r>
          </w:p>
        </w:tc>
        <w:tc>
          <w:tcPr>
            <w:tcW w:w="56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2,261</w:t>
            </w:r>
          </w:p>
        </w:tc>
        <w:tc>
          <w:tcPr>
            <w:tcW w:w="9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270"/>
              <w:jc w:val="right"/>
              <w:rPr>
                <w:rFonts w:ascii="Times New Roman" w:hAnsi="Times New Roman"/>
                <w:sz w:val="24"/>
                <w:szCs w:val="24"/>
              </w:rPr>
            </w:pPr>
            <w:r w:rsidRPr="00E43688">
              <w:rPr>
                <w:rFonts w:ascii="Arial" w:hAnsi="Arial" w:cs="Arial"/>
                <w:color w:val="1F1A17"/>
                <w:sz w:val="14"/>
                <w:szCs w:val="14"/>
              </w:rPr>
              <w:t>162</w:t>
            </w:r>
          </w:p>
        </w:tc>
        <w:tc>
          <w:tcPr>
            <w:tcW w:w="82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50"/>
              <w:jc w:val="right"/>
              <w:rPr>
                <w:rFonts w:ascii="Times New Roman" w:hAnsi="Times New Roman"/>
                <w:sz w:val="24"/>
                <w:szCs w:val="24"/>
              </w:rPr>
            </w:pPr>
            <w:r w:rsidRPr="00E43688">
              <w:rPr>
                <w:rFonts w:ascii="Arial" w:hAnsi="Arial" w:cs="Arial"/>
                <w:color w:val="1F1A17"/>
                <w:sz w:val="14"/>
                <w:szCs w:val="14"/>
              </w:rPr>
              <w:t>159</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0" w:type="dxa"/>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w w:val="93"/>
                <w:sz w:val="14"/>
                <w:szCs w:val="14"/>
              </w:rPr>
              <w:t>57,058</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30"/>
        </w:trPr>
        <w:tc>
          <w:tcPr>
            <w:tcW w:w="640" w:type="dxa"/>
            <w:gridSpan w:val="3"/>
            <w:vMerge w:val="restart"/>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r w:rsidRPr="00E43688">
              <w:rPr>
                <w:rFonts w:ascii="Arial" w:hAnsi="Arial" w:cs="Arial"/>
                <w:b/>
                <w:bCs/>
                <w:color w:val="1F1A17"/>
                <w:sz w:val="14"/>
                <w:szCs w:val="14"/>
              </w:rPr>
              <w:t>(MW)</w:t>
            </w: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8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4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82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600" w:type="dxa"/>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60"/>
        </w:trPr>
        <w:tc>
          <w:tcPr>
            <w:tcW w:w="640" w:type="dxa"/>
            <w:gridSpan w:val="3"/>
            <w:vMerge/>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40"/>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4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8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1160" w:type="dxa"/>
            <w:gridSpan w:val="2"/>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214"/>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52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b/>
                <w:bCs/>
                <w:color w:val="1F1A17"/>
                <w:sz w:val="14"/>
                <w:szCs w:val="14"/>
              </w:rPr>
              <w:t>Pay</w:t>
            </w:r>
          </w:p>
        </w:tc>
        <w:tc>
          <w:tcPr>
            <w:tcW w:w="1160" w:type="dxa"/>
            <w:gridSpan w:val="2"/>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0"/>
              <w:jc w:val="right"/>
              <w:rPr>
                <w:rFonts w:ascii="Times New Roman" w:hAnsi="Times New Roman"/>
                <w:sz w:val="24"/>
                <w:szCs w:val="24"/>
              </w:rPr>
            </w:pPr>
            <w:r w:rsidRPr="00E43688">
              <w:rPr>
                <w:rFonts w:ascii="Arial" w:hAnsi="Arial" w:cs="Arial"/>
                <w:color w:val="1F1A17"/>
                <w:sz w:val="14"/>
                <w:szCs w:val="14"/>
              </w:rPr>
              <w:t>34.37% 35.82%</w:t>
            </w: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8.87%</w:t>
            </w: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14.27%</w:t>
            </w: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2.15%</w:t>
            </w: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3.96%</w:t>
            </w: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170"/>
              <w:jc w:val="right"/>
              <w:rPr>
                <w:rFonts w:ascii="Times New Roman" w:hAnsi="Times New Roman"/>
                <w:sz w:val="24"/>
                <w:szCs w:val="24"/>
              </w:rPr>
            </w:pPr>
            <w:r w:rsidRPr="00E43688">
              <w:rPr>
                <w:rFonts w:ascii="Arial" w:hAnsi="Arial" w:cs="Arial"/>
                <w:color w:val="1F1A17"/>
                <w:sz w:val="14"/>
                <w:szCs w:val="14"/>
              </w:rPr>
              <w:t>0.28%</w:t>
            </w: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right="50"/>
              <w:jc w:val="right"/>
              <w:rPr>
                <w:rFonts w:ascii="Times New Roman" w:hAnsi="Times New Roman"/>
                <w:sz w:val="24"/>
                <w:szCs w:val="24"/>
              </w:rPr>
            </w:pPr>
            <w:r w:rsidRPr="00E43688">
              <w:rPr>
                <w:rFonts w:ascii="Arial" w:hAnsi="Arial" w:cs="Arial"/>
                <w:color w:val="1F1A17"/>
                <w:sz w:val="14"/>
                <w:szCs w:val="14"/>
              </w:rPr>
              <w:t>0.28%</w:t>
            </w: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jc w:val="center"/>
              <w:rPr>
                <w:rFonts w:ascii="Times New Roman" w:hAnsi="Times New Roman"/>
                <w:sz w:val="24"/>
                <w:szCs w:val="24"/>
              </w:rPr>
            </w:pPr>
            <w:r w:rsidRPr="00E43688">
              <w:rPr>
                <w:rFonts w:ascii="Arial" w:hAnsi="Arial" w:cs="Arial"/>
                <w:color w:val="1F1A17"/>
                <w:sz w:val="14"/>
                <w:szCs w:val="14"/>
              </w:rPr>
              <w:t>100%</w:t>
            </w: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42"/>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4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1440" w:type="dxa"/>
            <w:gridSpan w:val="3"/>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4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9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82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600" w:type="dxa"/>
            <w:tcBorders>
              <w:top w:val="nil"/>
              <w:left w:val="nil"/>
              <w:bottom w:val="single" w:sz="8" w:space="0" w:color="1F1A17"/>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95"/>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1680" w:type="dxa"/>
            <w:gridSpan w:val="4"/>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0"/>
              <w:rPr>
                <w:rFonts w:ascii="Times New Roman" w:hAnsi="Times New Roman"/>
                <w:sz w:val="24"/>
                <w:szCs w:val="24"/>
              </w:rPr>
            </w:pPr>
            <w:r w:rsidRPr="00E43688">
              <w:rPr>
                <w:rFonts w:ascii="Arial" w:hAnsi="Arial" w:cs="Arial"/>
                <w:color w:val="1F1A17"/>
                <w:sz w:val="14"/>
                <w:szCs w:val="14"/>
              </w:rPr>
              <w:t>*</w:t>
            </w:r>
            <w:r>
              <w:rPr>
                <w:rFonts w:ascii="Arial" w:hAnsi="Arial" w:cs="Arial"/>
                <w:color w:val="1F1A17"/>
                <w:sz w:val="14"/>
                <w:szCs w:val="14"/>
              </w:rPr>
              <w:t xml:space="preserve">Çift yakıtlı santraller </w:t>
            </w:r>
            <w:r w:rsidR="00445C63">
              <w:rPr>
                <w:rFonts w:ascii="Arial" w:hAnsi="Arial" w:cs="Arial"/>
                <w:color w:val="1F1A17"/>
                <w:sz w:val="14"/>
                <w:szCs w:val="14"/>
              </w:rPr>
              <w:t>dâhil</w:t>
            </w: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500" w:type="dxa"/>
          <w:tblLayout w:type="fixed"/>
          <w:tblCellMar>
            <w:left w:w="0" w:type="dxa"/>
            <w:right w:w="0" w:type="dxa"/>
          </w:tblCellMar>
          <w:tblLook w:val="0000"/>
        </w:tblPrEx>
        <w:trPr>
          <w:trHeight w:val="179"/>
        </w:trPr>
        <w:tc>
          <w:tcPr>
            <w:tcW w:w="1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4300" w:type="dxa"/>
            <w:gridSpan w:val="8"/>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20"/>
              <w:rPr>
                <w:rFonts w:ascii="Times New Roman" w:hAnsi="Times New Roman"/>
                <w:sz w:val="24"/>
                <w:szCs w:val="24"/>
              </w:rPr>
            </w:pPr>
            <w:r w:rsidRPr="00E43688">
              <w:rPr>
                <w:rFonts w:ascii="Arial" w:hAnsi="Arial" w:cs="Arial"/>
                <w:color w:val="1F1A17"/>
                <w:sz w:val="14"/>
                <w:szCs w:val="14"/>
              </w:rPr>
              <w:t>**</w:t>
            </w:r>
            <w:r>
              <w:rPr>
                <w:rFonts w:ascii="Arial" w:hAnsi="Arial" w:cs="Arial"/>
                <w:color w:val="1F1A17"/>
                <w:sz w:val="14"/>
                <w:szCs w:val="14"/>
              </w:rPr>
              <w:t xml:space="preserve">Yerli ve ithal kömür santrali &amp; Asfaltit bitkiler </w:t>
            </w:r>
            <w:r w:rsidR="00445C63">
              <w:rPr>
                <w:rFonts w:ascii="Arial" w:hAnsi="Arial" w:cs="Arial"/>
                <w:color w:val="1F1A17"/>
                <w:sz w:val="14"/>
                <w:szCs w:val="14"/>
              </w:rPr>
              <w:t>dâhil</w:t>
            </w:r>
          </w:p>
        </w:tc>
        <w:tc>
          <w:tcPr>
            <w:tcW w:w="9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2"/>
                <w:szCs w:val="2"/>
              </w:rPr>
            </w:pPr>
          </w:p>
        </w:tc>
      </w:tr>
    </w:tbl>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51"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1728" behindDoc="1" locked="0" layoutInCell="0" allowOverlap="1">
            <wp:simplePos x="0" y="0"/>
            <wp:positionH relativeFrom="page">
              <wp:posOffset>0</wp:posOffset>
            </wp:positionH>
            <wp:positionV relativeFrom="page">
              <wp:posOffset>0</wp:posOffset>
            </wp:positionV>
            <wp:extent cx="7880350" cy="9446895"/>
            <wp:effectExtent l="0" t="0" r="0" b="0"/>
            <wp:wrapNone/>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80040" name="Picture 212"/>
                    <pic:cNvPicPr>
                      <a:picLocks noChangeAspect="1" noChangeArrowheads="1"/>
                    </pic:cNvPicPr>
                  </pic:nvPicPr>
                  <pic:blipFill>
                    <a:blip xmlns:r="http://schemas.openxmlformats.org/officeDocument/2006/relationships" r:embed="rId4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AF3073" w:rsidP="00036A52">
      <w:pPr>
        <w:widowControl w:val="0"/>
        <w:overflowPunct w:val="0"/>
        <w:autoSpaceDE w:val="0"/>
        <w:autoSpaceDN w:val="0"/>
        <w:adjustRightInd w:val="0"/>
        <w:spacing w:after="0" w:line="277" w:lineRule="auto"/>
        <w:jc w:val="both"/>
        <w:rPr>
          <w:rFonts w:ascii="Times New Roman" w:hAnsi="Times New Roman"/>
          <w:sz w:val="24"/>
          <w:szCs w:val="24"/>
        </w:rPr>
      </w:pPr>
      <w:r w:rsidRPr="00AF3073">
        <w:rPr>
          <w:rFonts w:ascii="Arial" w:hAnsi="Arial" w:cs="Arial"/>
          <w:color w:val="1F1A17"/>
        </w:rPr>
        <w:t xml:space="preserve">Türkiye’de yenilebilir enerji alanında birçok ilerleme </w:t>
      </w:r>
      <w:r w:rsidRPr="00AF3073" w:rsidR="00445C63">
        <w:rPr>
          <w:rFonts w:ascii="Arial" w:hAnsi="Arial" w:cs="Arial"/>
          <w:color w:val="1F1A17"/>
        </w:rPr>
        <w:t>kat ediliyor</w:t>
      </w:r>
      <w:r w:rsidRPr="00AF3073">
        <w:rPr>
          <w:rFonts w:ascii="Arial" w:hAnsi="Arial" w:cs="Arial"/>
          <w:color w:val="1F1A17"/>
        </w:rPr>
        <w:t>, bunlara rüzgâr, güneş, hidro, jeotermal, nükleer, elektri</w:t>
      </w:r>
      <w:r w:rsidR="00445C63">
        <w:rPr>
          <w:rFonts w:ascii="Arial" w:hAnsi="Arial" w:cs="Arial"/>
          <w:color w:val="1F1A17"/>
        </w:rPr>
        <w:t>k ısınma ve su ısıtma için hidro</w:t>
      </w:r>
      <w:r w:rsidRPr="00AF3073">
        <w:rPr>
          <w:rFonts w:ascii="Arial" w:hAnsi="Arial" w:cs="Arial"/>
          <w:color w:val="1F1A17"/>
        </w:rPr>
        <w:t xml:space="preserve">jen, ayrıca çevreye duyarlı fosil yakıtlara alternatif, çevreyi kirletmeyen ve sera gazı üretmeyen yöntemler de dâhildir. </w:t>
      </w:r>
    </w:p>
    <w:p w:rsidR="00036A52" w:rsidRPr="00AF3073" w:rsidP="00036A52">
      <w:pPr>
        <w:widowControl w:val="0"/>
        <w:autoSpaceDE w:val="0"/>
        <w:autoSpaceDN w:val="0"/>
        <w:adjustRightInd w:val="0"/>
        <w:spacing w:after="0" w:line="220" w:lineRule="exact"/>
        <w:rPr>
          <w:rFonts w:ascii="Times New Roman" w:hAnsi="Times New Roman"/>
          <w:sz w:val="24"/>
          <w:szCs w:val="24"/>
        </w:rPr>
      </w:pPr>
    </w:p>
    <w:p w:rsidR="00036A52" w:rsidRPr="00AF3073" w:rsidP="00036A52">
      <w:pPr>
        <w:widowControl w:val="0"/>
        <w:overflowPunct w:val="0"/>
        <w:autoSpaceDE w:val="0"/>
        <w:autoSpaceDN w:val="0"/>
        <w:adjustRightInd w:val="0"/>
        <w:spacing w:after="0" w:line="295" w:lineRule="auto"/>
        <w:jc w:val="both"/>
        <w:rPr>
          <w:rFonts w:ascii="Times New Roman" w:hAnsi="Times New Roman"/>
          <w:sz w:val="24"/>
          <w:szCs w:val="24"/>
        </w:rPr>
      </w:pPr>
      <w:r w:rsidRPr="004511AE">
        <w:rPr>
          <w:rFonts w:ascii="Arial" w:hAnsi="Arial" w:cs="Arial"/>
          <w:color w:val="1F1A17"/>
        </w:rPr>
        <w:t>Türk hükümeti yenilebilir enerji kaynaklarını toplam enerji üretiminin 2023’e kadar %30’lara kadar arttırmayı öncelikli</w:t>
      </w:r>
      <w:r w:rsidR="00946B4F">
        <w:rPr>
          <w:rFonts w:ascii="Arial" w:hAnsi="Arial" w:cs="Arial"/>
          <w:color w:val="1F1A17"/>
        </w:rPr>
        <w:t xml:space="preserve"> hedefi olarak belirlemiştir</w:t>
      </w:r>
      <w:r w:rsidRPr="004511AE">
        <w:rPr>
          <w:rFonts w:ascii="Arial" w:hAnsi="Arial" w:cs="Arial"/>
          <w:color w:val="1F1A17"/>
        </w:rPr>
        <w:t>, bunun yanında şirket ve hane seviyesinde enerji tasarrufu için yeni yasaların v</w:t>
      </w:r>
      <w:r w:rsidR="00946B4F">
        <w:rPr>
          <w:rFonts w:ascii="Arial" w:hAnsi="Arial" w:cs="Arial"/>
          <w:color w:val="1F1A17"/>
        </w:rPr>
        <w:t>e konseptlerini hayata geçirmektedir</w:t>
      </w:r>
      <w:r w:rsidRPr="00AF3073">
        <w:rPr>
          <w:rFonts w:ascii="Arial" w:hAnsi="Arial" w:cs="Arial"/>
          <w:color w:val="1F1A17"/>
          <w:sz w:val="21"/>
          <w:szCs w:val="21"/>
        </w:rPr>
        <w:t>.</w:t>
      </w:r>
    </w:p>
    <w:p w:rsidR="00036A52" w:rsidRPr="00E43688" w:rsidP="00036A52">
      <w:pPr>
        <w:widowControl w:val="0"/>
        <w:autoSpaceDE w:val="0"/>
        <w:autoSpaceDN w:val="0"/>
        <w:adjustRightInd w:val="0"/>
        <w:spacing w:after="0" w:line="207" w:lineRule="exact"/>
        <w:rPr>
          <w:rFonts w:ascii="Times New Roman" w:hAnsi="Times New Roman"/>
          <w:sz w:val="24"/>
          <w:szCs w:val="24"/>
        </w:rPr>
      </w:pPr>
    </w:p>
    <w:p w:rsidR="00036A52" w:rsidRPr="00C07A90" w:rsidP="00036A52">
      <w:pPr>
        <w:widowControl w:val="0"/>
        <w:autoSpaceDE w:val="0"/>
        <w:autoSpaceDN w:val="0"/>
        <w:adjustRightInd w:val="0"/>
        <w:spacing w:after="0" w:line="240" w:lineRule="auto"/>
        <w:rPr>
          <w:rFonts w:ascii="Times New Roman" w:hAnsi="Times New Roman"/>
          <w:sz w:val="24"/>
          <w:szCs w:val="24"/>
        </w:rPr>
      </w:pPr>
      <w:r w:rsidRPr="00C07A90">
        <w:rPr>
          <w:rFonts w:ascii="Arial" w:hAnsi="Arial" w:cs="Arial"/>
          <w:b/>
          <w:bCs/>
          <w:color w:val="E87817"/>
        </w:rPr>
        <w:t>Rüzgâr Enerjisi</w:t>
      </w:r>
    </w:p>
    <w:p w:rsidR="00036A52" w:rsidRPr="00162D10" w:rsidP="00036A52">
      <w:pPr>
        <w:widowControl w:val="0"/>
        <w:autoSpaceDE w:val="0"/>
        <w:autoSpaceDN w:val="0"/>
        <w:adjustRightInd w:val="0"/>
        <w:spacing w:after="0" w:line="263" w:lineRule="exact"/>
        <w:rPr>
          <w:rFonts w:ascii="Times New Roman" w:hAnsi="Times New Roman"/>
          <w:sz w:val="24"/>
          <w:szCs w:val="24"/>
          <w:highlight w:val="magenta"/>
        </w:rPr>
      </w:pPr>
    </w:p>
    <w:p w:rsidR="00036A52" w:rsidRPr="004E3BB9" w:rsidP="00036A52">
      <w:pPr>
        <w:widowControl w:val="0"/>
        <w:overflowPunct w:val="0"/>
        <w:autoSpaceDE w:val="0"/>
        <w:autoSpaceDN w:val="0"/>
        <w:adjustRightInd w:val="0"/>
        <w:spacing w:after="0" w:line="277" w:lineRule="auto"/>
        <w:jc w:val="both"/>
        <w:rPr>
          <w:rFonts w:ascii="Times New Roman" w:hAnsi="Times New Roman"/>
          <w:sz w:val="24"/>
          <w:szCs w:val="24"/>
        </w:rPr>
      </w:pPr>
      <w:r w:rsidRPr="004E3BB9">
        <w:rPr>
          <w:rFonts w:ascii="Arial" w:hAnsi="Arial" w:cs="Arial"/>
          <w:color w:val="1F1A17"/>
        </w:rPr>
        <w:t xml:space="preserve">31 Aralık 2010 itibarı ile Dünya Rüzgâr Enerjisi Birliği’ne göre </w:t>
      </w:r>
      <w:r w:rsidR="00445C63">
        <w:rPr>
          <w:rFonts w:ascii="Arial" w:hAnsi="Arial" w:cs="Arial"/>
          <w:color w:val="1F1A17"/>
        </w:rPr>
        <w:t>Türkiye rüzgâr enerjisi üretim kap</w:t>
      </w:r>
      <w:r w:rsidRPr="004E3BB9">
        <w:rPr>
          <w:rFonts w:ascii="Arial" w:hAnsi="Arial" w:cs="Arial"/>
          <w:color w:val="1F1A17"/>
        </w:rPr>
        <w:t>asitesi açısından dünyada 17</w:t>
      </w:r>
      <w:r w:rsidR="00946B4F">
        <w:rPr>
          <w:rFonts w:ascii="Arial" w:hAnsi="Arial" w:cs="Arial"/>
          <w:color w:val="1F1A17"/>
        </w:rPr>
        <w:t>’i</w:t>
      </w:r>
      <w:r w:rsidRPr="004E3BB9">
        <w:rPr>
          <w:rFonts w:ascii="Arial" w:hAnsi="Arial" w:cs="Arial"/>
          <w:color w:val="1F1A17"/>
        </w:rPr>
        <w:t>nci, Avrupa’da ise 11</w:t>
      </w:r>
      <w:r w:rsidR="00946B4F">
        <w:rPr>
          <w:rFonts w:ascii="Arial" w:hAnsi="Arial" w:cs="Arial"/>
          <w:color w:val="1F1A17"/>
        </w:rPr>
        <w:t>’i</w:t>
      </w:r>
      <w:r w:rsidRPr="004E3BB9">
        <w:rPr>
          <w:rFonts w:ascii="Arial" w:hAnsi="Arial" w:cs="Arial"/>
          <w:color w:val="1F1A17"/>
        </w:rPr>
        <w:t>ncidir. Devlet Planlama Teşkilatı’na göre 2013’e kadar Türkiye 2,163MW’lık</w:t>
      </w:r>
      <w:r w:rsidR="00946B4F">
        <w:rPr>
          <w:rFonts w:ascii="Arial" w:hAnsi="Arial" w:cs="Arial"/>
          <w:color w:val="1F1A17"/>
        </w:rPr>
        <w:t xml:space="preserve"> (Mega Watt)</w:t>
      </w:r>
      <w:r w:rsidRPr="004E3BB9" w:rsidR="00445C63">
        <w:rPr>
          <w:rFonts w:ascii="Arial" w:hAnsi="Arial" w:cs="Arial"/>
          <w:color w:val="1F1A17"/>
        </w:rPr>
        <w:t>rüzgâr</w:t>
      </w:r>
      <w:r w:rsidRPr="004E3BB9">
        <w:rPr>
          <w:rFonts w:ascii="Arial" w:hAnsi="Arial" w:cs="Arial"/>
          <w:color w:val="1F1A17"/>
        </w:rPr>
        <w:t xml:space="preserve"> enerjisi üretiyor olacaktır, Türkiye’deki </w:t>
      </w:r>
      <w:r w:rsidRPr="004E3BB9" w:rsidR="00445C63">
        <w:rPr>
          <w:rFonts w:ascii="Arial" w:hAnsi="Arial" w:cs="Arial"/>
          <w:color w:val="1F1A17"/>
        </w:rPr>
        <w:t>rüzgâr</w:t>
      </w:r>
      <w:r w:rsidRPr="004E3BB9">
        <w:rPr>
          <w:rFonts w:ascii="Arial" w:hAnsi="Arial" w:cs="Arial"/>
          <w:color w:val="1F1A17"/>
        </w:rPr>
        <w:t xml:space="preserve"> enerjisi talebinin %</w:t>
      </w:r>
      <w:r w:rsidRPr="004E3BB9" w:rsidR="00445C63">
        <w:rPr>
          <w:rFonts w:ascii="Arial" w:hAnsi="Arial" w:cs="Arial"/>
          <w:color w:val="1F1A17"/>
        </w:rPr>
        <w:t>4,1’ine</w:t>
      </w:r>
      <w:r w:rsidRPr="004E3BB9">
        <w:rPr>
          <w:rFonts w:ascii="Arial" w:hAnsi="Arial" w:cs="Arial"/>
          <w:color w:val="1F1A17"/>
        </w:rPr>
        <w:t xml:space="preserve"> ulaşacaktır. </w:t>
      </w:r>
    </w:p>
    <w:p w:rsidR="00036A52" w:rsidRPr="00162D10" w:rsidP="00036A52">
      <w:pPr>
        <w:widowControl w:val="0"/>
        <w:autoSpaceDE w:val="0"/>
        <w:autoSpaceDN w:val="0"/>
        <w:adjustRightInd w:val="0"/>
        <w:spacing w:after="0" w:line="220" w:lineRule="exact"/>
        <w:rPr>
          <w:rFonts w:ascii="Times New Roman" w:hAnsi="Times New Roman"/>
          <w:sz w:val="24"/>
          <w:szCs w:val="24"/>
          <w:highlight w:val="magenta"/>
        </w:rPr>
      </w:pPr>
    </w:p>
    <w:p w:rsidR="00036A52" w:rsidRPr="004E3BB9" w:rsidP="00036A52">
      <w:pPr>
        <w:widowControl w:val="0"/>
        <w:overflowPunct w:val="0"/>
        <w:autoSpaceDE w:val="0"/>
        <w:autoSpaceDN w:val="0"/>
        <w:adjustRightInd w:val="0"/>
        <w:spacing w:after="0" w:line="279" w:lineRule="auto"/>
        <w:jc w:val="both"/>
        <w:rPr>
          <w:rFonts w:ascii="Times New Roman" w:hAnsi="Times New Roman"/>
          <w:sz w:val="24"/>
          <w:szCs w:val="24"/>
        </w:rPr>
      </w:pPr>
      <w:r w:rsidRPr="004E3BB9">
        <w:rPr>
          <w:rFonts w:ascii="Arial" w:hAnsi="Arial" w:cs="Arial"/>
          <w:color w:val="1F1A17"/>
        </w:rPr>
        <w:t xml:space="preserve">Türkiye’deki Rüzgâr Enerjisi ve Su Santralleri İşadamları Derneği raporlarına göre Türkiye 2020’ye kadar rüzgâr enerjisi kapasitesini 2010’daki 1,265.5MW’tan 2020’de 20.000’e çıkarma, tam </w:t>
      </w:r>
      <w:r w:rsidRPr="004E3BB9" w:rsidR="00445C63">
        <w:rPr>
          <w:rFonts w:ascii="Arial" w:hAnsi="Arial" w:cs="Arial"/>
          <w:color w:val="1F1A17"/>
        </w:rPr>
        <w:t>on altı</w:t>
      </w:r>
      <w:r w:rsidRPr="004E3BB9">
        <w:rPr>
          <w:rFonts w:ascii="Arial" w:hAnsi="Arial" w:cs="Arial"/>
          <w:color w:val="1F1A17"/>
        </w:rPr>
        <w:t xml:space="preserve"> kat arttırma niyetindedir.</w:t>
      </w:r>
    </w:p>
    <w:p w:rsidR="00036A52" w:rsidRPr="00162D10" w:rsidP="00036A52">
      <w:pPr>
        <w:widowControl w:val="0"/>
        <w:autoSpaceDE w:val="0"/>
        <w:autoSpaceDN w:val="0"/>
        <w:adjustRightInd w:val="0"/>
        <w:spacing w:after="0" w:line="218" w:lineRule="exact"/>
        <w:rPr>
          <w:rFonts w:ascii="Times New Roman" w:hAnsi="Times New Roman"/>
          <w:sz w:val="24"/>
          <w:szCs w:val="24"/>
          <w:highlight w:val="magenta"/>
        </w:rPr>
      </w:pPr>
    </w:p>
    <w:p w:rsidR="00036A52" w:rsidRPr="001B2A4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1B2A48">
        <w:rPr>
          <w:rFonts w:ascii="Arial" w:hAnsi="Arial" w:cs="Arial"/>
          <w:color w:val="1F1A17"/>
        </w:rPr>
        <w:t xml:space="preserve">Türkiye’de yarım düzine yabancı şirket rüzgâr enerjisi teknolojileri satmaktır, bunlara General Electric, Venisys (Kosta Rika), Furlander, Conergy, Nordex, Almanya’daki Nordex ve Enercom, Danimarka’daki </w:t>
      </w:r>
      <w:r w:rsidR="00445C63">
        <w:rPr>
          <w:rFonts w:ascii="Arial" w:hAnsi="Arial" w:cs="Arial"/>
          <w:color w:val="1F1A17"/>
        </w:rPr>
        <w:t>Vestas da dâhildir. Türkiye’de</w:t>
      </w:r>
      <w:r w:rsidRPr="00445C63" w:rsidR="00445C63">
        <w:rPr>
          <w:rFonts w:ascii="Arial" w:hAnsi="Arial" w:cs="Arial"/>
          <w:color w:val="1F1A17"/>
        </w:rPr>
        <w:t>Alaçatı’daki ülkenin ilk iki</w:t>
      </w:r>
      <w:r w:rsidR="00445C63">
        <w:rPr>
          <w:rFonts w:ascii="Arial" w:hAnsi="Arial" w:cs="Arial"/>
          <w:color w:val="1F1A17"/>
        </w:rPr>
        <w:t xml:space="preserve"> rüzgâr tarlasını inşa edenDemirer Grubu ve </w:t>
      </w:r>
      <w:r w:rsidRPr="001B2A48">
        <w:rPr>
          <w:rFonts w:ascii="Arial" w:hAnsi="Arial" w:cs="Arial"/>
          <w:color w:val="1F1A17"/>
        </w:rPr>
        <w:t>bunlar Türkiye’nin batısında Çeşme yakınlarındadır ve diğeri de Ege Ada</w:t>
      </w:r>
      <w:r w:rsidR="00445C63">
        <w:rPr>
          <w:rFonts w:ascii="Arial" w:hAnsi="Arial" w:cs="Arial"/>
          <w:color w:val="1F1A17"/>
        </w:rPr>
        <w:t>larından biri olan Bozcaada olup</w:t>
      </w:r>
      <w:r w:rsidRPr="001B2A48">
        <w:rPr>
          <w:rFonts w:ascii="Arial" w:hAnsi="Arial" w:cs="Arial"/>
          <w:color w:val="1F1A17"/>
        </w:rPr>
        <w:t xml:space="preserve"> beyana göre Türkiye’de </w:t>
      </w:r>
      <w:r w:rsidRPr="001B2A48" w:rsidR="00445C63">
        <w:rPr>
          <w:rFonts w:ascii="Arial" w:hAnsi="Arial" w:cs="Arial"/>
          <w:color w:val="1F1A17"/>
        </w:rPr>
        <w:t>rüzgâr</w:t>
      </w:r>
      <w:r w:rsidRPr="001B2A48">
        <w:rPr>
          <w:rFonts w:ascii="Arial" w:hAnsi="Arial" w:cs="Arial"/>
          <w:color w:val="1F1A17"/>
        </w:rPr>
        <w:t xml:space="preserve"> türbin kanatlarına, Avrupa’lı ortaklar</w:t>
      </w:r>
      <w:r w:rsidR="00946B4F">
        <w:rPr>
          <w:rFonts w:ascii="Arial" w:hAnsi="Arial" w:cs="Arial"/>
          <w:color w:val="1F1A17"/>
        </w:rPr>
        <w:t>ıyla yatırım yapacağını açıklamıştır</w:t>
      </w:r>
      <w:r w:rsidRPr="001B2A48">
        <w:rPr>
          <w:rFonts w:ascii="Arial" w:hAnsi="Arial" w:cs="Arial"/>
          <w:color w:val="1F1A17"/>
        </w:rPr>
        <w:t>.</w:t>
      </w:r>
    </w:p>
    <w:p w:rsidR="00036A52" w:rsidRPr="00162D10" w:rsidP="00036A52">
      <w:pPr>
        <w:widowControl w:val="0"/>
        <w:autoSpaceDE w:val="0"/>
        <w:autoSpaceDN w:val="0"/>
        <w:adjustRightInd w:val="0"/>
        <w:spacing w:after="0" w:line="218" w:lineRule="exact"/>
        <w:rPr>
          <w:rFonts w:ascii="Times New Roman" w:hAnsi="Times New Roman"/>
          <w:sz w:val="24"/>
          <w:szCs w:val="24"/>
          <w:highlight w:val="magenta"/>
        </w:rPr>
      </w:pPr>
    </w:p>
    <w:p w:rsidR="00036A52" w:rsidRPr="001B2A48" w:rsidP="00036A52">
      <w:pPr>
        <w:widowControl w:val="0"/>
        <w:overflowPunct w:val="0"/>
        <w:autoSpaceDE w:val="0"/>
        <w:autoSpaceDN w:val="0"/>
        <w:adjustRightInd w:val="0"/>
        <w:spacing w:after="0" w:line="278" w:lineRule="auto"/>
        <w:jc w:val="both"/>
        <w:rPr>
          <w:rFonts w:ascii="Times New Roman" w:hAnsi="Times New Roman"/>
          <w:sz w:val="24"/>
          <w:szCs w:val="24"/>
        </w:rPr>
      </w:pPr>
      <w:r w:rsidRPr="001B2A48">
        <w:rPr>
          <w:rFonts w:ascii="Arial" w:hAnsi="Arial" w:cs="Arial"/>
          <w:color w:val="1F1A17"/>
        </w:rPr>
        <w:t>İzmir menşeili Ege Teknoloji Vakfı’na göre 2023’e kadar Türkiye 40.000MW yenilenebilir enerji yaratım kapasitesini inşa edebilir, bunların 30.000MW’ı</w:t>
      </w:r>
      <w:r w:rsidR="00946B4F">
        <w:rPr>
          <w:rFonts w:ascii="Arial" w:hAnsi="Arial" w:cs="Arial"/>
          <w:color w:val="1F1A17"/>
        </w:rPr>
        <w:t>(Mega Watt’ı) rüzgâr tarlalarından oluşmaktadır</w:t>
      </w:r>
      <w:r w:rsidRPr="001B2A48">
        <w:rPr>
          <w:rFonts w:ascii="Arial" w:hAnsi="Arial" w:cs="Arial"/>
          <w:color w:val="1F1A17"/>
        </w:rPr>
        <w:t>. Bu da Türkiye enerji ağına gelecek 15 yılda %40 boyutunda bir katkı yapacaktır.</w:t>
      </w:r>
    </w:p>
    <w:p w:rsidR="00036A52" w:rsidP="00036A52">
      <w:pPr>
        <w:widowControl w:val="0"/>
        <w:autoSpaceDE w:val="0"/>
        <w:autoSpaceDN w:val="0"/>
        <w:adjustRightInd w:val="0"/>
        <w:spacing w:after="0" w:line="240" w:lineRule="auto"/>
        <w:rPr>
          <w:rFonts w:ascii="Arial" w:hAnsi="Arial" w:cs="Arial"/>
          <w:b/>
          <w:bCs/>
          <w:color w:val="E87817"/>
        </w:rPr>
      </w:pPr>
    </w:p>
    <w:p w:rsidR="00036A52" w:rsidRPr="001B2A48" w:rsidP="00036A52">
      <w:pPr>
        <w:widowControl w:val="0"/>
        <w:autoSpaceDE w:val="0"/>
        <w:autoSpaceDN w:val="0"/>
        <w:adjustRightInd w:val="0"/>
        <w:spacing w:after="0" w:line="240" w:lineRule="auto"/>
        <w:rPr>
          <w:rFonts w:ascii="Times New Roman" w:hAnsi="Times New Roman"/>
          <w:sz w:val="24"/>
          <w:szCs w:val="24"/>
        </w:rPr>
      </w:pPr>
      <w:r w:rsidRPr="001B2A48">
        <w:rPr>
          <w:rFonts w:ascii="Arial" w:hAnsi="Arial" w:cs="Arial"/>
          <w:b/>
          <w:bCs/>
          <w:color w:val="E87817"/>
        </w:rPr>
        <w:t>Güneş Enerjisi</w:t>
      </w:r>
    </w:p>
    <w:p w:rsidR="00036A52" w:rsidRPr="00162D10" w:rsidP="00036A52">
      <w:pPr>
        <w:widowControl w:val="0"/>
        <w:autoSpaceDE w:val="0"/>
        <w:autoSpaceDN w:val="0"/>
        <w:adjustRightInd w:val="0"/>
        <w:spacing w:after="0" w:line="263" w:lineRule="exact"/>
        <w:rPr>
          <w:rFonts w:ascii="Times New Roman" w:hAnsi="Times New Roman"/>
          <w:sz w:val="24"/>
          <w:szCs w:val="24"/>
          <w:highlight w:val="magenta"/>
        </w:rPr>
      </w:pPr>
    </w:p>
    <w:p w:rsidR="00036A52" w:rsidRPr="001B2A48" w:rsidP="00036A52">
      <w:pPr>
        <w:widowControl w:val="0"/>
        <w:overflowPunct w:val="0"/>
        <w:autoSpaceDE w:val="0"/>
        <w:autoSpaceDN w:val="0"/>
        <w:adjustRightInd w:val="0"/>
        <w:spacing w:after="0" w:line="278" w:lineRule="auto"/>
        <w:jc w:val="both"/>
        <w:rPr>
          <w:rFonts w:ascii="Times New Roman" w:hAnsi="Times New Roman"/>
          <w:sz w:val="24"/>
          <w:szCs w:val="24"/>
        </w:rPr>
      </w:pPr>
      <w:r w:rsidRPr="001B2A48">
        <w:rPr>
          <w:rFonts w:ascii="Arial" w:hAnsi="Arial" w:cs="Arial"/>
          <w:color w:val="1F1A17"/>
        </w:rPr>
        <w:t xml:space="preserve">Ortalama 2.640 saat gün ışığı alabilmesi </w:t>
      </w:r>
      <w:r w:rsidRPr="001B2A48" w:rsidR="00445C63">
        <w:rPr>
          <w:rFonts w:ascii="Arial" w:hAnsi="Arial" w:cs="Arial"/>
          <w:color w:val="1F1A17"/>
        </w:rPr>
        <w:t>ile</w:t>
      </w:r>
      <w:r w:rsidRPr="001B2A48">
        <w:rPr>
          <w:rFonts w:ascii="Arial" w:hAnsi="Arial" w:cs="Arial"/>
          <w:color w:val="1F1A17"/>
        </w:rPr>
        <w:t xml:space="preserve"> veya günde </w:t>
      </w:r>
      <w:r w:rsidRPr="001B2A48" w:rsidR="00445C63">
        <w:rPr>
          <w:rFonts w:ascii="Arial" w:hAnsi="Arial" w:cs="Arial"/>
          <w:color w:val="1F1A17"/>
        </w:rPr>
        <w:t>7,2</w:t>
      </w:r>
      <w:r w:rsidRPr="001B2A48">
        <w:rPr>
          <w:rFonts w:ascii="Arial" w:hAnsi="Arial" w:cs="Arial"/>
          <w:color w:val="1F1A17"/>
        </w:rPr>
        <w:t xml:space="preserve"> saat gün ışığına erişim olması </w:t>
      </w:r>
      <w:r w:rsidRPr="001B2A48" w:rsidR="00445C63">
        <w:rPr>
          <w:rFonts w:ascii="Arial" w:hAnsi="Arial" w:cs="Arial"/>
          <w:color w:val="1F1A17"/>
        </w:rPr>
        <w:t>ile Electricity</w:t>
      </w:r>
      <w:r w:rsidRPr="001B2A48">
        <w:rPr>
          <w:rFonts w:ascii="Arial" w:hAnsi="Arial" w:cs="Arial"/>
          <w:color w:val="1F1A17"/>
        </w:rPr>
        <w:t>AffairsResearch Administration (EYEY</w:t>
      </w:r>
      <w:r w:rsidR="00946B4F">
        <w:rPr>
          <w:rFonts w:ascii="Arial" w:hAnsi="Arial" w:cs="Arial"/>
          <w:color w:val="1F1A17"/>
        </w:rPr>
        <w:t xml:space="preserve">- Elektrik İşleri Araştırma Yönetimi) </w:t>
      </w:r>
      <w:r w:rsidRPr="001B2A48">
        <w:rPr>
          <w:rFonts w:ascii="Arial" w:hAnsi="Arial" w:cs="Arial"/>
          <w:color w:val="1F1A17"/>
        </w:rPr>
        <w:t>raporuna göre “Türkiye konumu açısından ve güneş enerjisi potansiyeli açısından di</w:t>
      </w:r>
      <w:r w:rsidR="00445C63">
        <w:rPr>
          <w:rFonts w:ascii="Arial" w:hAnsi="Arial" w:cs="Arial"/>
          <w:color w:val="1F1A17"/>
        </w:rPr>
        <w:t>ğer birçok ülkeden daha şanslı</w:t>
      </w:r>
      <w:r w:rsidRPr="001B2A48">
        <w:rPr>
          <w:rFonts w:ascii="Arial" w:hAnsi="Arial" w:cs="Arial"/>
          <w:color w:val="1F1A17"/>
        </w:rPr>
        <w:t>dır</w:t>
      </w:r>
      <w:r w:rsidR="00445C63">
        <w:rPr>
          <w:rFonts w:ascii="Arial" w:hAnsi="Arial" w:cs="Arial"/>
          <w:color w:val="1F1A17"/>
        </w:rPr>
        <w:t>”</w:t>
      </w:r>
      <w:r w:rsidRPr="001B2A48">
        <w:rPr>
          <w:rFonts w:ascii="Arial" w:hAnsi="Arial" w:cs="Arial"/>
          <w:color w:val="1F1A17"/>
        </w:rPr>
        <w:t>.</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97"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2752" behindDoc="1" locked="0" layoutInCell="0" allowOverlap="1">
            <wp:simplePos x="0" y="0"/>
            <wp:positionH relativeFrom="page">
              <wp:posOffset>0</wp:posOffset>
            </wp:positionH>
            <wp:positionV relativeFrom="page">
              <wp:posOffset>377190</wp:posOffset>
            </wp:positionV>
            <wp:extent cx="7880350" cy="9897110"/>
            <wp:effectExtent l="0" t="0" r="0" b="0"/>
            <wp:wrapNone/>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9517" name="Picture 213"/>
                    <pic:cNvPicPr>
                      <a:picLocks noChangeAspect="1" noChangeArrowheads="1"/>
                    </pic:cNvPicPr>
                  </pic:nvPicPr>
                  <pic:blipFill>
                    <a:blip xmlns:r="http://schemas.openxmlformats.org/officeDocument/2006/relationships" r:embed="rId4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DC2D9E" w:rsidP="00036A52">
      <w:pPr>
        <w:widowControl w:val="0"/>
        <w:overflowPunct w:val="0"/>
        <w:autoSpaceDE w:val="0"/>
        <w:autoSpaceDN w:val="0"/>
        <w:adjustRightInd w:val="0"/>
        <w:spacing w:after="0" w:line="277" w:lineRule="auto"/>
        <w:jc w:val="both"/>
        <w:rPr>
          <w:rFonts w:ascii="Times New Roman" w:hAnsi="Times New Roman"/>
          <w:sz w:val="24"/>
          <w:szCs w:val="24"/>
        </w:rPr>
      </w:pPr>
      <w:r w:rsidRPr="00DC2D9E">
        <w:rPr>
          <w:rFonts w:ascii="Arial" w:hAnsi="Arial" w:cs="Arial"/>
          <w:color w:val="1F1A17"/>
        </w:rPr>
        <w:t xml:space="preserve">Türkiye 1998’den beri güneş enerjisi çıktısını giderek arttırmaktadır. 2009’da 429 tona denk olacak güneş enerjisi üretmiştir, 2004’e göre %12, 1998’e göre ise %110’dan fazla artış vardır. Güneş enerjisi panelleri (toplayıcıları) genellikle Ege ve Akdeniz bölgelerinde </w:t>
      </w:r>
      <w:r w:rsidRPr="00DC2D9E" w:rsidR="00445C63">
        <w:rPr>
          <w:rFonts w:ascii="Arial" w:hAnsi="Arial" w:cs="Arial"/>
          <w:color w:val="1F1A17"/>
        </w:rPr>
        <w:t>kullanılmıştır</w:t>
      </w:r>
      <w:r w:rsidRPr="00DC2D9E">
        <w:rPr>
          <w:rFonts w:ascii="Arial" w:hAnsi="Arial" w:cs="Arial"/>
          <w:color w:val="1F1A17"/>
        </w:rPr>
        <w:t xml:space="preserve"> ve bu bölgeler ülkede en çok gün ışığına maruz kalan bölgelerdir.</w:t>
      </w:r>
    </w:p>
    <w:p w:rsidR="00036A52" w:rsidRPr="00E43688" w:rsidP="00036A52">
      <w:pPr>
        <w:widowControl w:val="0"/>
        <w:autoSpaceDE w:val="0"/>
        <w:autoSpaceDN w:val="0"/>
        <w:adjustRightInd w:val="0"/>
        <w:spacing w:after="0" w:line="289" w:lineRule="exact"/>
        <w:rPr>
          <w:rFonts w:ascii="Times New Roman" w:hAnsi="Times New Roman"/>
          <w:sz w:val="24"/>
          <w:szCs w:val="24"/>
        </w:rPr>
      </w:pPr>
    </w:p>
    <w:p w:rsidR="00036A52" w:rsidRPr="00DC2D9E" w:rsidP="00036A52">
      <w:pPr>
        <w:widowControl w:val="0"/>
        <w:autoSpaceDE w:val="0"/>
        <w:autoSpaceDN w:val="0"/>
        <w:adjustRightInd w:val="0"/>
        <w:spacing w:after="0" w:line="240" w:lineRule="auto"/>
        <w:rPr>
          <w:rFonts w:ascii="Times New Roman" w:hAnsi="Times New Roman"/>
          <w:sz w:val="24"/>
          <w:szCs w:val="24"/>
        </w:rPr>
      </w:pPr>
      <w:r w:rsidRPr="00DC2D9E">
        <w:rPr>
          <w:rFonts w:ascii="Arial" w:hAnsi="Arial" w:cs="Arial"/>
          <w:b/>
          <w:bCs/>
          <w:color w:val="E87817"/>
        </w:rPr>
        <w:t>Türkiye Güneş Enerjisi Çıktılarının Yakıt Tonu bazından denkliği (TOE)</w:t>
      </w:r>
    </w:p>
    <w:p w:rsidR="00036A52" w:rsidRPr="00E43688" w:rsidP="00036A52">
      <w:pPr>
        <w:widowControl w:val="0"/>
        <w:autoSpaceDE w:val="0"/>
        <w:autoSpaceDN w:val="0"/>
        <w:adjustRightInd w:val="0"/>
        <w:spacing w:after="0" w:line="283" w:lineRule="exact"/>
        <w:rPr>
          <w:rFonts w:ascii="Times New Roman" w:hAnsi="Times New Roman"/>
          <w:sz w:val="24"/>
          <w:szCs w:val="24"/>
        </w:rPr>
      </w:pPr>
    </w:p>
    <w:tbl>
      <w:tblPr>
        <w:tblW w:w="0" w:type="auto"/>
        <w:tblLayout w:type="fixed"/>
        <w:tblCellMar>
          <w:left w:w="0" w:type="dxa"/>
          <w:right w:w="0" w:type="dxa"/>
        </w:tblCellMar>
        <w:tblLook w:val="0000"/>
      </w:tblPr>
      <w:tblGrid>
        <w:gridCol w:w="3440"/>
        <w:gridCol w:w="4480"/>
      </w:tblGrid>
      <w:tr w:rsidTr="00036A52">
        <w:tblPrEx>
          <w:tblW w:w="0" w:type="auto"/>
          <w:tblLayout w:type="fixed"/>
          <w:tblCellMar>
            <w:left w:w="0" w:type="dxa"/>
            <w:right w:w="0" w:type="dxa"/>
          </w:tblCellMar>
          <w:tblLook w:val="0000"/>
        </w:tblPrEx>
        <w:trPr>
          <w:trHeight w:val="339"/>
        </w:trPr>
        <w:tc>
          <w:tcPr>
            <w:tcW w:w="344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b/>
                <w:bCs/>
                <w:color w:val="FFFFFF"/>
                <w:sz w:val="20"/>
                <w:szCs w:val="20"/>
              </w:rPr>
              <w:t>Y</w:t>
            </w:r>
            <w:r>
              <w:rPr>
                <w:rFonts w:ascii="Arial" w:hAnsi="Arial" w:cs="Arial"/>
                <w:b/>
                <w:bCs/>
                <w:color w:val="FFFFFF"/>
                <w:sz w:val="20"/>
                <w:szCs w:val="20"/>
              </w:rPr>
              <w:t>ıl</w:t>
            </w:r>
          </w:p>
        </w:tc>
        <w:tc>
          <w:tcPr>
            <w:tcW w:w="448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Pr>
                <w:rFonts w:ascii="Arial" w:hAnsi="Arial" w:cs="Arial"/>
                <w:b/>
                <w:bCs/>
                <w:color w:val="FFFFFF"/>
                <w:sz w:val="20"/>
                <w:szCs w:val="20"/>
              </w:rPr>
              <w:t>Miktar</w:t>
            </w:r>
          </w:p>
        </w:tc>
      </w:tr>
      <w:tr w:rsidTr="00036A52">
        <w:tblPrEx>
          <w:tblW w:w="0" w:type="auto"/>
          <w:tblLayout w:type="fixed"/>
          <w:tblCellMar>
            <w:left w:w="0" w:type="dxa"/>
            <w:right w:w="0" w:type="dxa"/>
          </w:tblCellMar>
          <w:tblLook w:val="0000"/>
        </w:tblPrEx>
        <w:trPr>
          <w:trHeight w:val="290"/>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1998</w:t>
            </w: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200</w:t>
            </w:r>
          </w:p>
        </w:tc>
      </w:tr>
      <w:tr w:rsidTr="00036A52">
        <w:tblPrEx>
          <w:tblW w:w="0" w:type="auto"/>
          <w:tblLayout w:type="fixed"/>
          <w:tblCellMar>
            <w:left w:w="0" w:type="dxa"/>
            <w:right w:w="0" w:type="dxa"/>
          </w:tblCellMar>
          <w:tblLook w:val="0000"/>
        </w:tblPrEx>
        <w:trPr>
          <w:trHeight w:val="69"/>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r>
      <w:tr w:rsidTr="00036A52">
        <w:tblPrEx>
          <w:tblW w:w="0" w:type="auto"/>
          <w:tblLayout w:type="fixed"/>
          <w:tblCellMar>
            <w:left w:w="0" w:type="dxa"/>
            <w:right w:w="0" w:type="dxa"/>
          </w:tblCellMar>
          <w:tblLook w:val="0000"/>
        </w:tblPrEx>
        <w:trPr>
          <w:trHeight w:val="281"/>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1999</w:t>
            </w: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236</w:t>
            </w:r>
          </w:p>
        </w:tc>
      </w:tr>
      <w:tr w:rsidTr="00036A52">
        <w:tblPrEx>
          <w:tblW w:w="0" w:type="auto"/>
          <w:tblLayout w:type="fixed"/>
          <w:tblCellMar>
            <w:left w:w="0" w:type="dxa"/>
            <w:right w:w="0" w:type="dxa"/>
          </w:tblCellMar>
          <w:tblLook w:val="0000"/>
        </w:tblPrEx>
        <w:trPr>
          <w:trHeight w:val="78"/>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r>
      <w:tr w:rsidTr="00036A52">
        <w:tblPrEx>
          <w:tblW w:w="0" w:type="auto"/>
          <w:tblLayout w:type="fixed"/>
          <w:tblCellMar>
            <w:left w:w="0" w:type="dxa"/>
            <w:right w:w="0" w:type="dxa"/>
          </w:tblCellMar>
          <w:tblLook w:val="0000"/>
        </w:tblPrEx>
        <w:trPr>
          <w:trHeight w:val="272"/>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2000</w:t>
            </w: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262</w:t>
            </w:r>
          </w:p>
        </w:tc>
      </w:tr>
      <w:tr w:rsidTr="00036A52">
        <w:tblPrEx>
          <w:tblW w:w="0" w:type="auto"/>
          <w:tblLayout w:type="fixed"/>
          <w:tblCellMar>
            <w:left w:w="0" w:type="dxa"/>
            <w:right w:w="0" w:type="dxa"/>
          </w:tblCellMar>
          <w:tblLook w:val="0000"/>
        </w:tblPrEx>
        <w:trPr>
          <w:trHeight w:val="87"/>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7"/>
                <w:szCs w:val="7"/>
              </w:rPr>
            </w:pPr>
          </w:p>
        </w:tc>
      </w:tr>
      <w:tr w:rsidTr="00036A52">
        <w:tblPrEx>
          <w:tblW w:w="0" w:type="auto"/>
          <w:tblLayout w:type="fixed"/>
          <w:tblCellMar>
            <w:left w:w="0" w:type="dxa"/>
            <w:right w:w="0" w:type="dxa"/>
          </w:tblCellMar>
          <w:tblLook w:val="0000"/>
        </w:tblPrEx>
        <w:trPr>
          <w:trHeight w:val="263"/>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2001</w:t>
            </w: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290</w:t>
            </w:r>
          </w:p>
        </w:tc>
      </w:tr>
      <w:tr w:rsidTr="00036A52">
        <w:tblPrEx>
          <w:tblW w:w="0" w:type="auto"/>
          <w:tblLayout w:type="fixed"/>
          <w:tblCellMar>
            <w:left w:w="0" w:type="dxa"/>
            <w:right w:w="0" w:type="dxa"/>
          </w:tblCellMar>
          <w:tblLook w:val="0000"/>
        </w:tblPrEx>
        <w:trPr>
          <w:trHeight w:val="96"/>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8"/>
                <w:szCs w:val="8"/>
              </w:rPr>
            </w:pPr>
          </w:p>
        </w:tc>
      </w:tr>
      <w:tr w:rsidTr="00036A52">
        <w:tblPrEx>
          <w:tblW w:w="0" w:type="auto"/>
          <w:tblLayout w:type="fixed"/>
          <w:tblCellMar>
            <w:left w:w="0" w:type="dxa"/>
            <w:right w:w="0" w:type="dxa"/>
          </w:tblCellMar>
          <w:tblLook w:val="0000"/>
        </w:tblPrEx>
        <w:trPr>
          <w:trHeight w:val="254"/>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2004</w:t>
            </w: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375</w:t>
            </w:r>
          </w:p>
        </w:tc>
      </w:tr>
      <w:tr w:rsidTr="00036A52">
        <w:tblPrEx>
          <w:tblW w:w="0" w:type="auto"/>
          <w:tblLayout w:type="fixed"/>
          <w:tblCellMar>
            <w:left w:w="0" w:type="dxa"/>
            <w:right w:w="0" w:type="dxa"/>
          </w:tblCellMar>
          <w:tblLook w:val="0000"/>
        </w:tblPrEx>
        <w:trPr>
          <w:trHeight w:val="105"/>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r>
      <w:tr w:rsidTr="00036A52">
        <w:tblPrEx>
          <w:tblW w:w="0" w:type="auto"/>
          <w:tblLayout w:type="fixed"/>
          <w:tblCellMar>
            <w:left w:w="0" w:type="dxa"/>
            <w:right w:w="0" w:type="dxa"/>
          </w:tblCellMar>
          <w:tblLook w:val="0000"/>
        </w:tblPrEx>
        <w:trPr>
          <w:trHeight w:val="245"/>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2008</w:t>
            </w: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420</w:t>
            </w:r>
          </w:p>
        </w:tc>
      </w:tr>
      <w:tr w:rsidTr="00036A52">
        <w:tblPrEx>
          <w:tblW w:w="0" w:type="auto"/>
          <w:tblLayout w:type="fixed"/>
          <w:tblCellMar>
            <w:left w:w="0" w:type="dxa"/>
            <w:right w:w="0" w:type="dxa"/>
          </w:tblCellMar>
          <w:tblLook w:val="0000"/>
        </w:tblPrEx>
        <w:trPr>
          <w:trHeight w:val="114"/>
        </w:trPr>
        <w:tc>
          <w:tcPr>
            <w:tcW w:w="34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c>
          <w:tcPr>
            <w:tcW w:w="44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9"/>
                <w:szCs w:val="9"/>
              </w:rPr>
            </w:pPr>
          </w:p>
        </w:tc>
      </w:tr>
      <w:tr w:rsidTr="00036A52">
        <w:tblPrEx>
          <w:tblW w:w="0" w:type="auto"/>
          <w:tblLayout w:type="fixed"/>
          <w:tblCellMar>
            <w:left w:w="0" w:type="dxa"/>
            <w:right w:w="0" w:type="dxa"/>
          </w:tblCellMar>
          <w:tblLook w:val="0000"/>
        </w:tblPrEx>
        <w:trPr>
          <w:trHeight w:val="236"/>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820"/>
              <w:rPr>
                <w:rFonts w:ascii="Times New Roman" w:hAnsi="Times New Roman"/>
                <w:sz w:val="24"/>
                <w:szCs w:val="24"/>
              </w:rPr>
            </w:pPr>
            <w:r w:rsidRPr="00E43688">
              <w:rPr>
                <w:rFonts w:ascii="Arial" w:hAnsi="Arial" w:cs="Arial"/>
                <w:color w:val="1F1A17"/>
                <w:sz w:val="18"/>
                <w:szCs w:val="18"/>
              </w:rPr>
              <w:t>2009</w:t>
            </w: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569"/>
              <w:jc w:val="center"/>
              <w:rPr>
                <w:rFonts w:ascii="Times New Roman" w:hAnsi="Times New Roman"/>
                <w:sz w:val="24"/>
                <w:szCs w:val="24"/>
              </w:rPr>
            </w:pPr>
            <w:r w:rsidRPr="00E43688">
              <w:rPr>
                <w:rFonts w:ascii="Arial" w:hAnsi="Arial" w:cs="Arial"/>
                <w:color w:val="1F1A17"/>
                <w:w w:val="99"/>
                <w:sz w:val="18"/>
                <w:szCs w:val="18"/>
              </w:rPr>
              <w:t>429</w:t>
            </w:r>
          </w:p>
        </w:tc>
      </w:tr>
      <w:tr w:rsidTr="00036A52">
        <w:tblPrEx>
          <w:tblW w:w="0" w:type="auto"/>
          <w:tblLayout w:type="fixed"/>
          <w:tblCellMar>
            <w:left w:w="0" w:type="dxa"/>
            <w:right w:w="0" w:type="dxa"/>
          </w:tblCellMar>
          <w:tblLook w:val="0000"/>
        </w:tblPrEx>
        <w:trPr>
          <w:trHeight w:val="123"/>
        </w:trPr>
        <w:tc>
          <w:tcPr>
            <w:tcW w:w="34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10"/>
                <w:szCs w:val="10"/>
              </w:rPr>
            </w:pPr>
          </w:p>
        </w:tc>
        <w:tc>
          <w:tcPr>
            <w:tcW w:w="44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10"/>
                <w:szCs w:val="10"/>
              </w:rPr>
            </w:pPr>
          </w:p>
        </w:tc>
      </w:tr>
    </w:tbl>
    <w:p w:rsidR="00036A52" w:rsidRPr="00E43688" w:rsidP="00036A52">
      <w:pPr>
        <w:widowControl w:val="0"/>
        <w:autoSpaceDE w:val="0"/>
        <w:autoSpaceDN w:val="0"/>
        <w:adjustRightInd w:val="0"/>
        <w:spacing w:after="0" w:line="101" w:lineRule="exact"/>
        <w:rPr>
          <w:rFonts w:ascii="Times New Roman" w:hAnsi="Times New Roman"/>
          <w:sz w:val="24"/>
          <w:szCs w:val="24"/>
        </w:rPr>
      </w:pPr>
    </w:p>
    <w:p w:rsidR="00036A52" w:rsidRPr="00E43688" w:rsidP="00946B4F">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w:t>
      </w:r>
      <w:r w:rsidRPr="00E43688">
        <w:rPr>
          <w:rFonts w:ascii="Arial" w:hAnsi="Arial" w:cs="Arial"/>
          <w:i/>
          <w:iCs/>
          <w:color w:val="1F1A17"/>
          <w:sz w:val="16"/>
          <w:szCs w:val="16"/>
        </w:rPr>
        <w:t>: EIEI</w:t>
      </w:r>
    </w:p>
    <w:p w:rsidR="00036A52" w:rsidRPr="00E43688" w:rsidP="00036A52">
      <w:pPr>
        <w:widowControl w:val="0"/>
        <w:autoSpaceDE w:val="0"/>
        <w:autoSpaceDN w:val="0"/>
        <w:adjustRightInd w:val="0"/>
        <w:spacing w:after="0" w:line="236" w:lineRule="exact"/>
        <w:rPr>
          <w:rFonts w:ascii="Times New Roman" w:hAnsi="Times New Roman"/>
          <w:sz w:val="24"/>
          <w:szCs w:val="24"/>
        </w:rPr>
      </w:pPr>
    </w:p>
    <w:p w:rsidR="00036A52" w:rsidRPr="00DC2D9E" w:rsidP="00036A52">
      <w:pPr>
        <w:widowControl w:val="0"/>
        <w:autoSpaceDE w:val="0"/>
        <w:autoSpaceDN w:val="0"/>
        <w:adjustRightInd w:val="0"/>
        <w:spacing w:after="0" w:line="240" w:lineRule="auto"/>
        <w:rPr>
          <w:rFonts w:ascii="Times New Roman" w:hAnsi="Times New Roman"/>
          <w:sz w:val="24"/>
          <w:szCs w:val="24"/>
        </w:rPr>
      </w:pPr>
      <w:r w:rsidRPr="00DC2D9E">
        <w:rPr>
          <w:rFonts w:ascii="Arial" w:hAnsi="Arial" w:cs="Arial"/>
          <w:b/>
          <w:bCs/>
          <w:color w:val="E87817"/>
        </w:rPr>
        <w:t>Jeotermal Enerji</w:t>
      </w:r>
    </w:p>
    <w:p w:rsidR="00036A52" w:rsidRPr="00162D10" w:rsidP="00036A52">
      <w:pPr>
        <w:widowControl w:val="0"/>
        <w:autoSpaceDE w:val="0"/>
        <w:autoSpaceDN w:val="0"/>
        <w:adjustRightInd w:val="0"/>
        <w:spacing w:after="0" w:line="263" w:lineRule="exact"/>
        <w:rPr>
          <w:rFonts w:ascii="Times New Roman" w:hAnsi="Times New Roman"/>
          <w:sz w:val="24"/>
          <w:szCs w:val="24"/>
          <w:highlight w:val="magenta"/>
        </w:rPr>
      </w:pPr>
    </w:p>
    <w:p w:rsidR="00036A52" w:rsidRPr="004C2B63" w:rsidP="00036A52">
      <w:pPr>
        <w:widowControl w:val="0"/>
        <w:overflowPunct w:val="0"/>
        <w:autoSpaceDE w:val="0"/>
        <w:autoSpaceDN w:val="0"/>
        <w:adjustRightInd w:val="0"/>
        <w:spacing w:after="0" w:line="278" w:lineRule="auto"/>
        <w:jc w:val="both"/>
        <w:rPr>
          <w:rFonts w:ascii="Times New Roman" w:hAnsi="Times New Roman"/>
          <w:sz w:val="24"/>
          <w:szCs w:val="24"/>
        </w:rPr>
      </w:pPr>
      <w:r w:rsidRPr="00DC2D9E">
        <w:rPr>
          <w:rFonts w:ascii="Arial" w:hAnsi="Arial" w:cs="Arial"/>
          <w:color w:val="1F1A17"/>
        </w:rPr>
        <w:t>Türkiye Avrupa’daki en zengin jeotermal kaynaklara sahiptir, dünyada ise en büyük 7</w:t>
      </w:r>
      <w:r w:rsidR="00946B4F">
        <w:rPr>
          <w:rFonts w:ascii="Arial" w:hAnsi="Arial" w:cs="Arial"/>
          <w:color w:val="1F1A17"/>
        </w:rPr>
        <w:t>’i</w:t>
      </w:r>
      <w:r w:rsidRPr="00DC2D9E">
        <w:rPr>
          <w:rFonts w:ascii="Arial" w:hAnsi="Arial" w:cs="Arial"/>
          <w:color w:val="1F1A17"/>
        </w:rPr>
        <w:t xml:space="preserve">ncidir, Mineral Technical Exploration Agency’ye göre (MTA) “teorik potansiyeli” ise yıllık </w:t>
      </w:r>
      <w:r w:rsidRPr="004C2B63">
        <w:rPr>
          <w:rFonts w:ascii="Arial" w:hAnsi="Arial" w:cs="Arial"/>
          <w:color w:val="1F1A17"/>
        </w:rPr>
        <w:t xml:space="preserve">31.000MW </w:t>
      </w:r>
      <w:r w:rsidR="00946B4F">
        <w:rPr>
          <w:rFonts w:ascii="Arial" w:hAnsi="Arial" w:cs="Arial"/>
          <w:color w:val="1F1A17"/>
        </w:rPr>
        <w:t xml:space="preserve">(Mega Watt) </w:t>
      </w:r>
      <w:r w:rsidRPr="004C2B63" w:rsidR="00445C63">
        <w:rPr>
          <w:rFonts w:ascii="Arial" w:hAnsi="Arial" w:cs="Arial"/>
          <w:color w:val="1F1A17"/>
        </w:rPr>
        <w:t>elektrik</w:t>
      </w:r>
      <w:r w:rsidRPr="004C2B63">
        <w:rPr>
          <w:rFonts w:ascii="Arial" w:hAnsi="Arial" w:cs="Arial"/>
          <w:color w:val="1F1A17"/>
        </w:rPr>
        <w:t xml:space="preserve"> yaratım kapasitesidir.</w:t>
      </w:r>
    </w:p>
    <w:p w:rsidR="00036A52" w:rsidRPr="004C2B63" w:rsidP="00036A52">
      <w:pPr>
        <w:widowControl w:val="0"/>
        <w:autoSpaceDE w:val="0"/>
        <w:autoSpaceDN w:val="0"/>
        <w:adjustRightInd w:val="0"/>
        <w:spacing w:after="0" w:line="218" w:lineRule="exact"/>
        <w:rPr>
          <w:rFonts w:ascii="Times New Roman" w:hAnsi="Times New Roman"/>
          <w:sz w:val="24"/>
          <w:szCs w:val="24"/>
        </w:rPr>
      </w:pPr>
    </w:p>
    <w:p w:rsidR="00036A52" w:rsidRPr="004C2B63" w:rsidP="00036A52">
      <w:pPr>
        <w:widowControl w:val="0"/>
        <w:overflowPunct w:val="0"/>
        <w:autoSpaceDE w:val="0"/>
        <w:autoSpaceDN w:val="0"/>
        <w:adjustRightInd w:val="0"/>
        <w:spacing w:after="0" w:line="278" w:lineRule="auto"/>
        <w:jc w:val="both"/>
        <w:rPr>
          <w:rFonts w:ascii="Times New Roman" w:hAnsi="Times New Roman"/>
          <w:sz w:val="24"/>
          <w:szCs w:val="24"/>
        </w:rPr>
      </w:pPr>
      <w:r w:rsidRPr="004C2B63">
        <w:rPr>
          <w:rFonts w:ascii="Arial" w:hAnsi="Arial" w:cs="Arial"/>
          <w:color w:val="1F1A17"/>
        </w:rPr>
        <w:t>Türkiye bilinen 1000 jeotermal kuyuya ve mineral kaynaklara sahiptir. Bunlar</w:t>
      </w:r>
      <w:r w:rsidR="00445C63">
        <w:rPr>
          <w:rFonts w:ascii="Arial" w:hAnsi="Arial" w:cs="Arial"/>
          <w:color w:val="1F1A17"/>
        </w:rPr>
        <w:t>dan 184’ünün ısısı 104 Fahrenhay</w:t>
      </w:r>
      <w:r w:rsidRPr="004C2B63" w:rsidR="00445C63">
        <w:rPr>
          <w:rFonts w:ascii="Arial" w:hAnsi="Arial" w:cs="Arial"/>
          <w:color w:val="1F1A17"/>
        </w:rPr>
        <w:t>tın</w:t>
      </w:r>
      <w:r w:rsidRPr="004C2B63">
        <w:rPr>
          <w:rFonts w:ascii="Arial" w:hAnsi="Arial" w:cs="Arial"/>
          <w:color w:val="1F1A17"/>
        </w:rPr>
        <w:t xml:space="preserve"> üzerindedir. EYEY’in raporuna göre 13’ünün ısısı ise 266 </w:t>
      </w:r>
      <w:r w:rsidRPr="004C2B63" w:rsidR="00445C63">
        <w:rPr>
          <w:rFonts w:ascii="Arial" w:hAnsi="Arial" w:cs="Arial"/>
          <w:color w:val="1F1A17"/>
        </w:rPr>
        <w:t>Fahrenhayt</w:t>
      </w:r>
      <w:r w:rsidRPr="004C2B63">
        <w:rPr>
          <w:rFonts w:ascii="Arial" w:hAnsi="Arial" w:cs="Arial"/>
          <w:color w:val="1F1A17"/>
        </w:rPr>
        <w:t xml:space="preserve"> ile </w:t>
      </w:r>
      <w:r w:rsidRPr="004C2B63" w:rsidR="00445C63">
        <w:rPr>
          <w:rFonts w:ascii="Arial" w:hAnsi="Arial" w:cs="Arial"/>
          <w:color w:val="1F1A17"/>
        </w:rPr>
        <w:t>467,6Fahrenhayt</w:t>
      </w:r>
      <w:r w:rsidRPr="004C2B63">
        <w:rPr>
          <w:rFonts w:ascii="Arial" w:hAnsi="Arial" w:cs="Arial"/>
          <w:color w:val="1F1A17"/>
        </w:rPr>
        <w:t xml:space="preserve"> derece arasındadır ve elektrik üretimine uygundur.</w:t>
      </w:r>
    </w:p>
    <w:p w:rsidR="00036A52" w:rsidRPr="0024287D" w:rsidP="00036A52">
      <w:pPr>
        <w:widowControl w:val="0"/>
        <w:autoSpaceDE w:val="0"/>
        <w:autoSpaceDN w:val="0"/>
        <w:adjustRightInd w:val="0"/>
        <w:spacing w:after="0" w:line="218" w:lineRule="exact"/>
        <w:rPr>
          <w:rFonts w:ascii="Times New Roman" w:hAnsi="Times New Roman"/>
          <w:sz w:val="24"/>
          <w:szCs w:val="24"/>
        </w:rPr>
      </w:pPr>
    </w:p>
    <w:p w:rsidR="00036A52" w:rsidRPr="0024287D" w:rsidP="00036A52">
      <w:pPr>
        <w:widowControl w:val="0"/>
        <w:overflowPunct w:val="0"/>
        <w:autoSpaceDE w:val="0"/>
        <w:autoSpaceDN w:val="0"/>
        <w:adjustRightInd w:val="0"/>
        <w:spacing w:after="0" w:line="277" w:lineRule="auto"/>
        <w:jc w:val="both"/>
        <w:rPr>
          <w:rFonts w:ascii="Times New Roman" w:hAnsi="Times New Roman"/>
          <w:sz w:val="24"/>
          <w:szCs w:val="24"/>
        </w:rPr>
      </w:pPr>
      <w:r w:rsidRPr="0024287D">
        <w:rPr>
          <w:rFonts w:ascii="Arial" w:hAnsi="Arial" w:cs="Arial"/>
          <w:color w:val="1F1A17"/>
        </w:rPr>
        <w:t>Şu anda jeotermal enerji Kızıldere, Denizli (20MWe), Salavatlı ve Aydın’dan  (7.9MWe) elde edilmektedir. Enerji Piyasaları Düzenleme Kurulu Kızıldere’de 5.5MW’lık</w:t>
      </w:r>
      <w:r w:rsidR="00946B4F">
        <w:rPr>
          <w:rFonts w:ascii="Arial" w:hAnsi="Arial" w:cs="Arial"/>
          <w:color w:val="1F1A17"/>
        </w:rPr>
        <w:t xml:space="preserve">(Mega Watt) </w:t>
      </w:r>
      <w:r w:rsidRPr="0024287D">
        <w:rPr>
          <w:rFonts w:ascii="Arial" w:hAnsi="Arial" w:cs="Arial"/>
          <w:color w:val="1F1A17"/>
        </w:rPr>
        <w:t>jeotermal santrali ve Tuzla, Çanakkale’de 7.5MW’lık bir santral için üretim izni vermiştir. 10MW’lık santral projesi de Batı Anadolu’da, Simav, Afyon’da üretimi yoldadır.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85"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3776" behindDoc="1" locked="0" layoutInCell="0" allowOverlap="1">
            <wp:simplePos x="0" y="0"/>
            <wp:positionH relativeFrom="page">
              <wp:posOffset>0</wp:posOffset>
            </wp:positionH>
            <wp:positionV relativeFrom="page">
              <wp:posOffset>0</wp:posOffset>
            </wp:positionV>
            <wp:extent cx="7880350" cy="9446895"/>
            <wp:effectExtent l="0" t="0" r="0" b="0"/>
            <wp:wrapNone/>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75876" name="Picture 214"/>
                    <pic:cNvPicPr>
                      <a:picLocks noChangeAspect="1" noChangeArrowheads="1"/>
                    </pic:cNvPicPr>
                  </pic:nvPicPr>
                  <pic:blipFill>
                    <a:blip xmlns:r="http://schemas.openxmlformats.org/officeDocument/2006/relationships" r:embed="rId4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F20964" w:rsidP="00036A52">
      <w:pPr>
        <w:widowControl w:val="0"/>
        <w:autoSpaceDE w:val="0"/>
        <w:autoSpaceDN w:val="0"/>
        <w:adjustRightInd w:val="0"/>
        <w:spacing w:after="0" w:line="200" w:lineRule="exact"/>
        <w:rPr>
          <w:rFonts w:ascii="Times New Roman" w:hAnsi="Times New Roman"/>
          <w:sz w:val="24"/>
          <w:szCs w:val="24"/>
          <w:highlight w:val="magenta"/>
        </w:rPr>
      </w:pPr>
      <w:r>
        <w:rPr>
          <w:noProof/>
          <w:highlight w:val="magenta"/>
        </w:rPr>
        <w:drawing>
          <wp:anchor distT="0" distB="0" distL="114300" distR="114300" simplePos="0" relativeHeight="251727872" behindDoc="1" locked="0" layoutInCell="0" allowOverlap="1">
            <wp:simplePos x="0" y="0"/>
            <wp:positionH relativeFrom="page">
              <wp:posOffset>0</wp:posOffset>
            </wp:positionH>
            <wp:positionV relativeFrom="page">
              <wp:posOffset>0</wp:posOffset>
            </wp:positionV>
            <wp:extent cx="7880350" cy="9446895"/>
            <wp:effectExtent l="0" t="0" r="0" b="0"/>
            <wp:wrapNone/>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2050" name="Picture 218"/>
                    <pic:cNvPicPr>
                      <a:picLocks noChangeAspect="1" noChangeArrowheads="1"/>
                    </pic:cNvPicPr>
                  </pic:nvPicPr>
                  <pic:blipFill>
                    <a:blip xmlns:r="http://schemas.openxmlformats.org/officeDocument/2006/relationships" r:embed="rId4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r w:rsidRPr="00F04611">
        <w:rPr>
          <w:rFonts w:ascii="Arial" w:hAnsi="Arial" w:cs="Arial"/>
          <w:b/>
          <w:bCs/>
          <w:color w:val="E87817"/>
        </w:rPr>
        <w:t>Türkiye’de yenilenebilir enerji projelerinde yatırım yapan işbirlikleri ve yurt içi şirketler</w:t>
      </w:r>
    </w:p>
    <w:p w:rsidR="00036A52" w:rsidRPr="00162D10" w:rsidP="00036A52">
      <w:pPr>
        <w:widowControl w:val="0"/>
        <w:autoSpaceDE w:val="0"/>
        <w:autoSpaceDN w:val="0"/>
        <w:adjustRightInd w:val="0"/>
        <w:spacing w:after="0" w:line="216" w:lineRule="exact"/>
        <w:rPr>
          <w:rFonts w:ascii="Times New Roman" w:hAnsi="Times New Roman"/>
          <w:sz w:val="24"/>
          <w:szCs w:val="24"/>
          <w:highlight w:val="magenta"/>
        </w:rPr>
      </w:pPr>
    </w:p>
    <w:p w:rsidR="00036A52" w:rsidRPr="00F04611" w:rsidP="00036A52">
      <w:pPr>
        <w:widowControl w:val="0"/>
        <w:numPr>
          <w:ilvl w:val="0"/>
          <w:numId w:val="24"/>
        </w:numPr>
        <w:tabs>
          <w:tab w:val="num" w:pos="717"/>
          <w:tab w:val="clear" w:pos="720"/>
        </w:tabs>
        <w:overflowPunct w:val="0"/>
        <w:autoSpaceDE w:val="0"/>
        <w:autoSpaceDN w:val="0"/>
        <w:adjustRightInd w:val="0"/>
        <w:spacing w:after="0" w:line="278" w:lineRule="auto"/>
        <w:ind w:hanging="357"/>
        <w:jc w:val="both"/>
        <w:rPr>
          <w:rFonts w:ascii="Arial" w:hAnsi="Arial" w:cs="Arial"/>
          <w:color w:val="1F1A17"/>
        </w:rPr>
      </w:pPr>
      <w:r w:rsidRPr="00F04611">
        <w:rPr>
          <w:rFonts w:ascii="Arial" w:hAnsi="Arial" w:cs="Arial"/>
          <w:color w:val="1F1A17"/>
        </w:rPr>
        <w:t>Fransa’daki Perfect WindCo. Türkiye’nin merkez illerinden biri olan Kırşehir’de Türkiye’nin en büyük r</w:t>
      </w:r>
      <w:r w:rsidR="00946B4F">
        <w:rPr>
          <w:rFonts w:ascii="Arial" w:hAnsi="Arial" w:cs="Arial"/>
          <w:color w:val="1F1A17"/>
        </w:rPr>
        <w:t>üzgâr tarlasını hayata geçirmektedir</w:t>
      </w:r>
      <w:r w:rsidRPr="00F04611">
        <w:rPr>
          <w:rFonts w:ascii="Arial" w:hAnsi="Arial" w:cs="Arial"/>
          <w:color w:val="1F1A17"/>
        </w:rPr>
        <w:t>. 150 MW’lık rüzgâr tarlası 210 milyon Euro tutarında olacaktır. Perfect WindCo. 2011’e kadar toplamda 400MW’lık projeye 550 milyo</w:t>
      </w:r>
      <w:r w:rsidR="00946B4F">
        <w:rPr>
          <w:rFonts w:ascii="Arial" w:hAnsi="Arial" w:cs="Arial"/>
          <w:color w:val="1F1A17"/>
        </w:rPr>
        <w:t>n Euro yatırım yapmayı planlamaktadır</w:t>
      </w:r>
      <w:r w:rsidRPr="00F04611">
        <w:rPr>
          <w:rFonts w:ascii="Arial" w:hAnsi="Arial" w:cs="Arial"/>
          <w:color w:val="1F1A17"/>
        </w:rPr>
        <w:t>.</w:t>
      </w:r>
    </w:p>
    <w:p w:rsidR="00036A52" w:rsidRPr="00F04611" w:rsidP="00036A52">
      <w:pPr>
        <w:widowControl w:val="0"/>
        <w:autoSpaceDE w:val="0"/>
        <w:autoSpaceDN w:val="0"/>
        <w:adjustRightInd w:val="0"/>
        <w:spacing w:after="0" w:line="217" w:lineRule="exact"/>
        <w:rPr>
          <w:rFonts w:ascii="Arial" w:hAnsi="Arial" w:cs="Arial"/>
          <w:color w:val="1F1A17"/>
        </w:rPr>
      </w:pPr>
    </w:p>
    <w:p w:rsidR="00036A52" w:rsidRPr="000C1D6B" w:rsidP="00036A52">
      <w:pPr>
        <w:widowControl w:val="0"/>
        <w:numPr>
          <w:ilvl w:val="0"/>
          <w:numId w:val="24"/>
        </w:numPr>
        <w:tabs>
          <w:tab w:val="num" w:pos="717"/>
          <w:tab w:val="clear" w:pos="720"/>
        </w:tabs>
        <w:overflowPunct w:val="0"/>
        <w:autoSpaceDE w:val="0"/>
        <w:autoSpaceDN w:val="0"/>
        <w:adjustRightInd w:val="0"/>
        <w:spacing w:after="0" w:line="279" w:lineRule="auto"/>
        <w:ind w:hanging="358"/>
        <w:jc w:val="both"/>
        <w:rPr>
          <w:rFonts w:ascii="Arial" w:hAnsi="Arial" w:cs="Arial"/>
          <w:color w:val="1F1A17"/>
        </w:rPr>
      </w:pPr>
      <w:r>
        <w:rPr>
          <w:rFonts w:ascii="Arial" w:hAnsi="Arial" w:cs="Arial"/>
          <w:color w:val="1F1A17"/>
        </w:rPr>
        <w:t>2007’de İ</w:t>
      </w:r>
      <w:r w:rsidRPr="00F04611">
        <w:rPr>
          <w:rFonts w:ascii="Arial" w:hAnsi="Arial" w:cs="Arial"/>
          <w:color w:val="1F1A17"/>
        </w:rPr>
        <w:t xml:space="preserve">zmir menşeili ALKE Construction ve Alman SSC Montage AESSC adı </w:t>
      </w:r>
      <w:r>
        <w:rPr>
          <w:rFonts w:ascii="Arial" w:hAnsi="Arial" w:cs="Arial"/>
          <w:color w:val="1F1A17"/>
        </w:rPr>
        <w:t>altında işbirliğine gitmişlerdir ve</w:t>
      </w:r>
      <w:r w:rsidRPr="00F04611">
        <w:rPr>
          <w:rFonts w:ascii="Arial" w:hAnsi="Arial" w:cs="Arial"/>
          <w:color w:val="1F1A17"/>
        </w:rPr>
        <w:t xml:space="preserve"> bu ortaklık Türkiye’de ve </w:t>
      </w:r>
      <w:r w:rsidRPr="000C1D6B">
        <w:rPr>
          <w:rFonts w:ascii="Arial" w:hAnsi="Arial" w:cs="Arial"/>
          <w:color w:val="1F1A17"/>
        </w:rPr>
        <w:t xml:space="preserve">Avrupa’da </w:t>
      </w:r>
      <w:r w:rsidRPr="000C1D6B">
        <w:rPr>
          <w:rFonts w:ascii="Arial" w:hAnsi="Arial" w:cs="Arial"/>
          <w:color w:val="1F1A17"/>
        </w:rPr>
        <w:t>rüzgâr</w:t>
      </w:r>
      <w:r w:rsidR="00946B4F">
        <w:rPr>
          <w:rFonts w:ascii="Arial" w:hAnsi="Arial" w:cs="Arial"/>
          <w:color w:val="1F1A17"/>
        </w:rPr>
        <w:t xml:space="preserve"> tarlaları oluşturmaktadır</w:t>
      </w:r>
      <w:r w:rsidRPr="000C1D6B">
        <w:rPr>
          <w:rFonts w:ascii="Arial" w:hAnsi="Arial" w:cs="Arial"/>
          <w:color w:val="1F1A17"/>
        </w:rPr>
        <w:t>.</w:t>
      </w:r>
    </w:p>
    <w:p w:rsidR="00036A52" w:rsidRPr="000C1D6B" w:rsidP="00036A52">
      <w:pPr>
        <w:widowControl w:val="0"/>
        <w:autoSpaceDE w:val="0"/>
        <w:autoSpaceDN w:val="0"/>
        <w:adjustRightInd w:val="0"/>
        <w:spacing w:after="0" w:line="217" w:lineRule="exact"/>
        <w:rPr>
          <w:rFonts w:ascii="Arial" w:hAnsi="Arial" w:cs="Arial"/>
          <w:color w:val="1F1A17"/>
        </w:rPr>
      </w:pPr>
    </w:p>
    <w:p w:rsidR="00036A52" w:rsidRPr="000C1D6B" w:rsidP="00036A52">
      <w:pPr>
        <w:widowControl w:val="0"/>
        <w:numPr>
          <w:ilvl w:val="0"/>
          <w:numId w:val="24"/>
        </w:numPr>
        <w:tabs>
          <w:tab w:val="num" w:pos="717"/>
          <w:tab w:val="clear" w:pos="720"/>
        </w:tabs>
        <w:overflowPunct w:val="0"/>
        <w:autoSpaceDE w:val="0"/>
        <w:autoSpaceDN w:val="0"/>
        <w:adjustRightInd w:val="0"/>
        <w:spacing w:after="0" w:line="277" w:lineRule="auto"/>
        <w:ind w:hanging="358"/>
        <w:jc w:val="both"/>
        <w:rPr>
          <w:rFonts w:ascii="Arial" w:hAnsi="Arial" w:cs="Arial"/>
          <w:color w:val="1F1A17"/>
        </w:rPr>
      </w:pPr>
      <w:r w:rsidRPr="000C1D6B">
        <w:rPr>
          <w:rFonts w:ascii="Arial" w:hAnsi="Arial" w:cs="Arial"/>
          <w:color w:val="1F1A17"/>
        </w:rPr>
        <w:t>Model Enerji 2009’da AmericanSuperconductorCorp.’tan aldığı sertifikaya dayanarak rüzgâr türbinleri ve kanatlarının</w:t>
      </w:r>
      <w:r w:rsidR="00946B4F">
        <w:rPr>
          <w:rFonts w:ascii="Arial" w:hAnsi="Arial" w:cs="Arial"/>
          <w:color w:val="1F1A17"/>
        </w:rPr>
        <w:t xml:space="preserve"> üretimine başlayacağını duyurmuştur</w:t>
      </w:r>
      <w:r w:rsidRPr="000C1D6B">
        <w:rPr>
          <w:rFonts w:ascii="Arial" w:hAnsi="Arial" w:cs="Arial"/>
          <w:color w:val="1F1A17"/>
        </w:rPr>
        <w:t xml:space="preserve">. </w:t>
      </w:r>
      <w:r w:rsidRPr="000C1D6B" w:rsidR="00445C63">
        <w:rPr>
          <w:rFonts w:ascii="Arial" w:hAnsi="Arial" w:cs="Arial"/>
          <w:color w:val="1F1A17"/>
        </w:rPr>
        <w:t>Adapazarı’nda</w:t>
      </w:r>
      <w:r w:rsidRPr="000C1D6B">
        <w:rPr>
          <w:rFonts w:ascii="Arial" w:hAnsi="Arial" w:cs="Arial"/>
          <w:color w:val="1F1A17"/>
        </w:rPr>
        <w:t xml:space="preserve">, </w:t>
      </w:r>
      <w:r w:rsidRPr="000C1D6B" w:rsidR="00445C63">
        <w:rPr>
          <w:rFonts w:ascii="Arial" w:hAnsi="Arial" w:cs="Arial"/>
          <w:color w:val="1F1A17"/>
        </w:rPr>
        <w:t>Anadolu’nun</w:t>
      </w:r>
      <w:r w:rsidRPr="000C1D6B">
        <w:rPr>
          <w:rFonts w:ascii="Arial" w:hAnsi="Arial" w:cs="Arial"/>
          <w:color w:val="1F1A17"/>
        </w:rPr>
        <w:t xml:space="preserve"> kuzeybatısında, Nett Enerji Elektrik Üretim A.Ş. rüzgâr türbini üret</w:t>
      </w:r>
      <w:r w:rsidR="00946B4F">
        <w:rPr>
          <w:rFonts w:ascii="Arial" w:hAnsi="Arial" w:cs="Arial"/>
          <w:color w:val="1F1A17"/>
        </w:rPr>
        <w:t>ilecek başka bir fabrika kurmaktadır</w:t>
      </w:r>
      <w:r w:rsidRPr="000C1D6B">
        <w:rPr>
          <w:rFonts w:ascii="Arial" w:hAnsi="Arial" w:cs="Arial"/>
          <w:color w:val="1F1A17"/>
        </w:rPr>
        <w:t>.</w:t>
      </w:r>
    </w:p>
    <w:p w:rsidR="00036A52" w:rsidRPr="000C1D6B" w:rsidP="00036A52">
      <w:pPr>
        <w:widowControl w:val="0"/>
        <w:autoSpaceDE w:val="0"/>
        <w:autoSpaceDN w:val="0"/>
        <w:adjustRightInd w:val="0"/>
        <w:spacing w:after="0" w:line="220" w:lineRule="exact"/>
        <w:rPr>
          <w:rFonts w:ascii="Arial" w:hAnsi="Arial" w:cs="Arial"/>
          <w:color w:val="1F1A17"/>
        </w:rPr>
      </w:pPr>
    </w:p>
    <w:p w:rsidR="00036A52" w:rsidRPr="000C1D6B" w:rsidP="00036A52">
      <w:pPr>
        <w:widowControl w:val="0"/>
        <w:numPr>
          <w:ilvl w:val="0"/>
          <w:numId w:val="24"/>
        </w:numPr>
        <w:tabs>
          <w:tab w:val="num" w:pos="717"/>
          <w:tab w:val="clear" w:pos="720"/>
        </w:tabs>
        <w:overflowPunct w:val="0"/>
        <w:autoSpaceDE w:val="0"/>
        <w:autoSpaceDN w:val="0"/>
        <w:adjustRightInd w:val="0"/>
        <w:spacing w:after="0" w:line="284" w:lineRule="auto"/>
        <w:ind w:hanging="358"/>
        <w:jc w:val="both"/>
        <w:rPr>
          <w:rFonts w:ascii="Arial" w:hAnsi="Arial" w:cs="Arial"/>
          <w:color w:val="1F1A17"/>
        </w:rPr>
      </w:pPr>
      <w:r w:rsidRPr="000C1D6B">
        <w:rPr>
          <w:rFonts w:ascii="Arial" w:hAnsi="Arial" w:cs="Arial"/>
          <w:color w:val="1F1A17"/>
        </w:rPr>
        <w:t>Fransa’daki Areva, İstanbul’un 40 km doğusundaki Gebze’de güç trafosu üretim</w:t>
      </w:r>
      <w:r w:rsidR="00946B4F">
        <w:rPr>
          <w:rFonts w:ascii="Arial" w:hAnsi="Arial" w:cs="Arial"/>
          <w:color w:val="1F1A17"/>
        </w:rPr>
        <w:t>ine 66 milyon Euro yatırım yapmıştır</w:t>
      </w:r>
      <w:r w:rsidRPr="000C1D6B">
        <w:rPr>
          <w:rFonts w:ascii="Arial" w:hAnsi="Arial" w:cs="Arial"/>
          <w:color w:val="1F1A17"/>
        </w:rPr>
        <w:t>.</w:t>
      </w:r>
    </w:p>
    <w:p w:rsidR="00036A52" w:rsidRPr="000C1D6B" w:rsidP="00036A52">
      <w:pPr>
        <w:widowControl w:val="0"/>
        <w:autoSpaceDE w:val="0"/>
        <w:autoSpaceDN w:val="0"/>
        <w:adjustRightInd w:val="0"/>
        <w:spacing w:after="0" w:line="211" w:lineRule="exact"/>
        <w:rPr>
          <w:rFonts w:ascii="Arial" w:hAnsi="Arial" w:cs="Arial"/>
          <w:color w:val="1F1A17"/>
        </w:rPr>
      </w:pPr>
    </w:p>
    <w:p w:rsidR="00036A52" w:rsidRPr="005A1677" w:rsidP="00036A52">
      <w:pPr>
        <w:widowControl w:val="0"/>
        <w:numPr>
          <w:ilvl w:val="0"/>
          <w:numId w:val="24"/>
        </w:numPr>
        <w:tabs>
          <w:tab w:val="num" w:pos="717"/>
          <w:tab w:val="clear" w:pos="720"/>
        </w:tabs>
        <w:overflowPunct w:val="0"/>
        <w:autoSpaceDE w:val="0"/>
        <w:autoSpaceDN w:val="0"/>
        <w:adjustRightInd w:val="0"/>
        <w:spacing w:after="0" w:line="284" w:lineRule="auto"/>
        <w:ind w:hanging="358"/>
        <w:jc w:val="both"/>
        <w:rPr>
          <w:rFonts w:ascii="Arial" w:hAnsi="Arial" w:cs="Arial"/>
          <w:color w:val="1F1A17"/>
        </w:rPr>
      </w:pPr>
      <w:r w:rsidRPr="000C1D6B">
        <w:rPr>
          <w:rFonts w:ascii="Arial" w:hAnsi="Arial" w:cs="Arial"/>
          <w:color w:val="1F1A17"/>
        </w:rPr>
        <w:t xml:space="preserve">Tunçmatik ve Japonya’nın Kyocera şirketleri hane kullanımı için güneş enerjisi sistemlerini </w:t>
      </w:r>
      <w:r w:rsidRPr="005A1677">
        <w:rPr>
          <w:rFonts w:ascii="Arial" w:hAnsi="Arial" w:cs="Arial"/>
          <w:color w:val="1F1A17"/>
        </w:rPr>
        <w:t>işbirliği içi</w:t>
      </w:r>
      <w:r w:rsidR="00946B4F">
        <w:rPr>
          <w:rFonts w:ascii="Arial" w:hAnsi="Arial" w:cs="Arial"/>
          <w:color w:val="1F1A17"/>
        </w:rPr>
        <w:t>nde üreteceklerini beyan etmişlerdir</w:t>
      </w:r>
      <w:r w:rsidRPr="005A1677">
        <w:rPr>
          <w:rFonts w:ascii="Arial" w:hAnsi="Arial" w:cs="Arial"/>
          <w:color w:val="1F1A17"/>
        </w:rPr>
        <w:t>.</w:t>
      </w:r>
    </w:p>
    <w:p w:rsidR="00036A52" w:rsidRPr="005A1677" w:rsidP="00036A52">
      <w:pPr>
        <w:widowControl w:val="0"/>
        <w:autoSpaceDE w:val="0"/>
        <w:autoSpaceDN w:val="0"/>
        <w:adjustRightInd w:val="0"/>
        <w:spacing w:after="0" w:line="204" w:lineRule="exact"/>
        <w:rPr>
          <w:rFonts w:ascii="Arial" w:hAnsi="Arial" w:cs="Arial"/>
          <w:color w:val="1F1A17"/>
        </w:rPr>
      </w:pPr>
    </w:p>
    <w:p w:rsidR="00036A52" w:rsidRPr="005A1677" w:rsidP="00036A52">
      <w:pPr>
        <w:widowControl w:val="0"/>
        <w:numPr>
          <w:ilvl w:val="0"/>
          <w:numId w:val="24"/>
        </w:numPr>
        <w:tabs>
          <w:tab w:val="num" w:pos="717"/>
          <w:tab w:val="clear" w:pos="720"/>
        </w:tabs>
        <w:overflowPunct w:val="0"/>
        <w:autoSpaceDE w:val="0"/>
        <w:autoSpaceDN w:val="0"/>
        <w:adjustRightInd w:val="0"/>
        <w:spacing w:after="0" w:line="291" w:lineRule="auto"/>
        <w:ind w:hanging="358"/>
        <w:jc w:val="both"/>
        <w:rPr>
          <w:rFonts w:ascii="Arial" w:hAnsi="Arial" w:cs="Arial"/>
          <w:color w:val="1F1A17"/>
        </w:rPr>
      </w:pPr>
      <w:r w:rsidRPr="005A1677">
        <w:rPr>
          <w:rFonts w:ascii="Arial" w:hAnsi="Arial" w:cs="Arial"/>
          <w:color w:val="1F1A17"/>
        </w:rPr>
        <w:t>İtalya menşeili Saif Enerji Kaynakları A.Ş. Mersin Organize Sanayi Bölgesi’ndeki tesislerinde kullanılabilir atık yakıtlardan,  organiz</w:t>
      </w:r>
      <w:r w:rsidR="00445C63">
        <w:rPr>
          <w:rFonts w:ascii="Arial" w:hAnsi="Arial" w:cs="Arial"/>
          <w:color w:val="1F1A17"/>
        </w:rPr>
        <w:t>e</w:t>
      </w:r>
      <w:r w:rsidR="00946B4F">
        <w:rPr>
          <w:rFonts w:ascii="Arial" w:hAnsi="Arial" w:cs="Arial"/>
          <w:color w:val="1F1A17"/>
        </w:rPr>
        <w:t xml:space="preserve"> yakıtlar üretmeye başlamıştır</w:t>
      </w:r>
      <w:r w:rsidRPr="005A1677">
        <w:rPr>
          <w:rFonts w:ascii="Arial" w:hAnsi="Arial" w:cs="Arial"/>
          <w:color w:val="1F1A17"/>
        </w:rPr>
        <w:t>.</w:t>
      </w:r>
    </w:p>
    <w:p w:rsidR="00036A52" w:rsidRPr="005A1677" w:rsidP="00036A52">
      <w:pPr>
        <w:widowControl w:val="0"/>
        <w:autoSpaceDE w:val="0"/>
        <w:autoSpaceDN w:val="0"/>
        <w:adjustRightInd w:val="0"/>
        <w:spacing w:after="0" w:line="196" w:lineRule="exact"/>
        <w:rPr>
          <w:rFonts w:ascii="Arial" w:hAnsi="Arial" w:cs="Arial"/>
          <w:color w:val="1F1A17"/>
        </w:rPr>
      </w:pPr>
    </w:p>
    <w:p w:rsidR="00036A52" w:rsidRPr="005A1677" w:rsidP="00036A52">
      <w:pPr>
        <w:widowControl w:val="0"/>
        <w:numPr>
          <w:ilvl w:val="0"/>
          <w:numId w:val="24"/>
        </w:numPr>
        <w:overflowPunct w:val="0"/>
        <w:autoSpaceDE w:val="0"/>
        <w:autoSpaceDN w:val="0"/>
        <w:adjustRightInd w:val="0"/>
        <w:spacing w:after="0" w:line="280" w:lineRule="auto"/>
        <w:ind w:hanging="358"/>
        <w:jc w:val="both"/>
        <w:rPr>
          <w:rFonts w:ascii="Arial" w:hAnsi="Arial" w:cs="Arial"/>
          <w:color w:val="1F1A17"/>
        </w:rPr>
      </w:pPr>
      <w:r w:rsidRPr="005A1677">
        <w:rPr>
          <w:rFonts w:ascii="Arial" w:hAnsi="Arial" w:cs="Arial"/>
          <w:color w:val="1F1A17"/>
        </w:rPr>
        <w:t>Norveç menşeili Statkraft Global Investmen Holding’den Türk menşeili Yeşil Enerji firmasının %95’ini açıklanmayan b</w:t>
      </w:r>
      <w:r w:rsidR="00946B4F">
        <w:rPr>
          <w:rFonts w:ascii="Arial" w:hAnsi="Arial" w:cs="Arial"/>
          <w:color w:val="1F1A17"/>
        </w:rPr>
        <w:t>ir ücret karşılığında satın almıştır</w:t>
      </w:r>
      <w:r w:rsidRPr="005A1677">
        <w:rPr>
          <w:rFonts w:ascii="Arial" w:hAnsi="Arial" w:cs="Arial"/>
          <w:color w:val="1F1A17"/>
        </w:rPr>
        <w:t>. Yeşil Enerji toplamda 630MW kapasiteli 7 hidroelektrik santralinin çoğunluk hisselerine sahip</w:t>
      </w:r>
      <w:r w:rsidR="00946B4F">
        <w:rPr>
          <w:rFonts w:ascii="Arial" w:hAnsi="Arial" w:cs="Arial"/>
          <w:color w:val="1F1A17"/>
        </w:rPr>
        <w:t>tir</w:t>
      </w:r>
      <w:r w:rsidRPr="005A1677">
        <w:rPr>
          <w:rFonts w:ascii="Arial" w:hAnsi="Arial" w:cs="Arial"/>
          <w:color w:val="1F1A17"/>
        </w:rPr>
        <w:t>.</w:t>
      </w:r>
    </w:p>
    <w:p w:rsidR="00036A52" w:rsidRPr="005A1677" w:rsidP="00036A52">
      <w:pPr>
        <w:widowControl w:val="0"/>
        <w:overflowPunct w:val="0"/>
        <w:autoSpaceDE w:val="0"/>
        <w:autoSpaceDN w:val="0"/>
        <w:adjustRightInd w:val="0"/>
        <w:spacing w:after="0" w:line="280" w:lineRule="auto"/>
        <w:jc w:val="both"/>
        <w:rPr>
          <w:rFonts w:ascii="Arial" w:hAnsi="Arial" w:cs="Arial"/>
          <w:color w:val="1F1A17"/>
        </w:rPr>
      </w:pPr>
    </w:p>
    <w:p w:rsidR="00036A52" w:rsidRPr="005A1677" w:rsidP="00036A52">
      <w:pPr>
        <w:widowControl w:val="0"/>
        <w:numPr>
          <w:ilvl w:val="0"/>
          <w:numId w:val="24"/>
        </w:numPr>
        <w:tabs>
          <w:tab w:val="num" w:pos="717"/>
          <w:tab w:val="clear" w:pos="720"/>
        </w:tabs>
        <w:overflowPunct w:val="0"/>
        <w:autoSpaceDE w:val="0"/>
        <w:autoSpaceDN w:val="0"/>
        <w:adjustRightInd w:val="0"/>
        <w:spacing w:after="0" w:line="279" w:lineRule="auto"/>
        <w:ind w:hanging="358"/>
        <w:jc w:val="both"/>
        <w:rPr>
          <w:rFonts w:ascii="Arial" w:hAnsi="Arial" w:cs="Arial"/>
          <w:color w:val="1F1A17"/>
        </w:rPr>
      </w:pPr>
      <w:r w:rsidRPr="005A1677">
        <w:rPr>
          <w:rFonts w:ascii="Arial" w:hAnsi="Arial" w:cs="Arial"/>
          <w:color w:val="1F1A17"/>
        </w:rPr>
        <w:t>Türkiye’deki Saran Group ve İspanya’daki FersaGroup Ankara’da 13 Kasım 2009’da, Türkiye’nin güney ve doğusunda yenilenebilir enerji projelerine 1 milyar do</w:t>
      </w:r>
      <w:r w:rsidR="00946B4F">
        <w:rPr>
          <w:rFonts w:ascii="Arial" w:hAnsi="Arial" w:cs="Arial"/>
          <w:color w:val="1F1A17"/>
        </w:rPr>
        <w:t>larlık yatırım yapma kararı almıştır</w:t>
      </w:r>
      <w:r w:rsidRPr="005A1677">
        <w:rPr>
          <w:rFonts w:ascii="Arial" w:hAnsi="Arial" w:cs="Arial"/>
          <w:color w:val="1F1A17"/>
        </w:rPr>
        <w:t>.</w:t>
      </w:r>
    </w:p>
    <w:p w:rsidR="00036A52" w:rsidRPr="005A1677" w:rsidP="00036A52">
      <w:pPr>
        <w:widowControl w:val="0"/>
        <w:autoSpaceDE w:val="0"/>
        <w:autoSpaceDN w:val="0"/>
        <w:adjustRightInd w:val="0"/>
        <w:spacing w:after="0" w:line="217" w:lineRule="exact"/>
        <w:rPr>
          <w:rFonts w:ascii="Arial" w:hAnsi="Arial" w:cs="Arial"/>
          <w:color w:val="1F1A17"/>
        </w:rPr>
      </w:pPr>
    </w:p>
    <w:p w:rsidR="00036A52" w:rsidRPr="005A1677" w:rsidP="00036A52">
      <w:pPr>
        <w:widowControl w:val="0"/>
        <w:numPr>
          <w:ilvl w:val="0"/>
          <w:numId w:val="24"/>
        </w:numPr>
        <w:overflowPunct w:val="0"/>
        <w:autoSpaceDE w:val="0"/>
        <w:autoSpaceDN w:val="0"/>
        <w:adjustRightInd w:val="0"/>
        <w:spacing w:after="0" w:line="284" w:lineRule="auto"/>
        <w:ind w:hanging="358"/>
        <w:jc w:val="both"/>
        <w:rPr>
          <w:rFonts w:ascii="Times New Roman" w:hAnsi="Times New Roman"/>
          <w:sz w:val="24"/>
          <w:szCs w:val="24"/>
        </w:rPr>
      </w:pPr>
      <w:r>
        <w:rPr>
          <w:rFonts w:ascii="Arial" w:hAnsi="Arial" w:cs="Arial"/>
          <w:color w:val="1F1A17"/>
        </w:rPr>
        <w:t>Türkiye’den</w:t>
      </w:r>
      <w:r w:rsidRPr="005A1677">
        <w:rPr>
          <w:rFonts w:ascii="Arial" w:hAnsi="Arial" w:cs="Arial"/>
          <w:color w:val="1F1A17"/>
        </w:rPr>
        <w:t xml:space="preserve"> Borusan Group ve Almanya’daki EnBW AG, Nisan 2009’da Türkiye’deki enerji projelerine </w:t>
      </w:r>
      <w:r w:rsidRPr="005A1677">
        <w:rPr>
          <w:rFonts w:ascii="Arial" w:hAnsi="Arial" w:cs="Arial"/>
          <w:color w:val="1F1A17"/>
        </w:rPr>
        <w:t>2,5</w:t>
      </w:r>
      <w:r w:rsidRPr="005A1677">
        <w:rPr>
          <w:rFonts w:ascii="Arial" w:hAnsi="Arial" w:cs="Arial"/>
          <w:color w:val="1F1A17"/>
        </w:rPr>
        <w:t xml:space="preserve"> milyar dolar yatırım yapm</w:t>
      </w:r>
      <w:r w:rsidR="00946B4F">
        <w:rPr>
          <w:rFonts w:ascii="Arial" w:hAnsi="Arial" w:cs="Arial"/>
          <w:color w:val="1F1A17"/>
        </w:rPr>
        <w:t>a konusunda işbirliğine gitmişlerdir</w:t>
      </w:r>
      <w:r w:rsidRPr="005A1677">
        <w:rPr>
          <w:rFonts w:ascii="Arial" w:hAnsi="Arial" w:cs="Arial"/>
          <w:color w:val="1F1A17"/>
        </w:rPr>
        <w:t>.</w:t>
      </w:r>
    </w:p>
    <w:p w:rsidR="00036A52" w:rsidRPr="0087191C" w:rsidP="00036A52">
      <w:pPr>
        <w:widowControl w:val="0"/>
        <w:overflowPunct w:val="0"/>
        <w:autoSpaceDE w:val="0"/>
        <w:autoSpaceDN w:val="0"/>
        <w:adjustRightInd w:val="0"/>
        <w:spacing w:after="0" w:line="277" w:lineRule="auto"/>
        <w:jc w:val="both"/>
        <w:rPr>
          <w:rFonts w:ascii="Times New Roman" w:hAnsi="Times New Roman"/>
          <w:sz w:val="24"/>
          <w:szCs w:val="24"/>
        </w:rPr>
        <w:sectPr w:rsidSect="00036A52">
          <w:type w:val="continuous"/>
          <w:pgSz w:w="12420" w:h="16180"/>
          <w:pgMar w:top="1440" w:right="1120" w:bottom="320" w:left="3380" w:header="708" w:footer="708" w:gutter="0"/>
          <w:cols w:space="708" w:equalWidth="0">
            <w:col w:w="7920"/>
          </w:cols>
          <w:noEndnote/>
        </w:sectPr>
      </w:pPr>
      <w:r w:rsidRPr="005A1677">
        <w:rPr>
          <w:rFonts w:ascii="Arial" w:hAnsi="Arial" w:cs="Arial"/>
          <w:color w:val="1F1A17"/>
        </w:rPr>
        <w:t>Bütün bu gelişmeler Türkiye’de uluslararası şirketlerin ortak iş yapması ve enerji sektörünü gel</w:t>
      </w:r>
      <w:r w:rsidR="00384C4A">
        <w:rPr>
          <w:rFonts w:ascii="Arial" w:hAnsi="Arial" w:cs="Arial"/>
          <w:color w:val="1F1A17"/>
        </w:rPr>
        <w:t>iştirmesi için fırsatlar sunmaktadır</w:t>
      </w:r>
      <w:r w:rsidRPr="005A1677">
        <w:rPr>
          <w:rFonts w:ascii="Arial" w:hAnsi="Arial" w:cs="Arial"/>
          <w:color w:val="1F1A17"/>
        </w:rPr>
        <w:t xml:space="preserve">. 2023’e kadar Türkiye’nin enerji talebini karşılayabilmek için gereken yatırımlar 120 milyon dolar </w:t>
      </w:r>
      <w:r w:rsidRPr="005A1677" w:rsidR="00445C63">
        <w:rPr>
          <w:rFonts w:ascii="Arial" w:hAnsi="Arial" w:cs="Arial"/>
          <w:color w:val="1F1A17"/>
        </w:rPr>
        <w:t>civarında</w:t>
      </w:r>
      <w:r w:rsidRPr="005A1677">
        <w:rPr>
          <w:rFonts w:ascii="Arial" w:hAnsi="Arial" w:cs="Arial"/>
          <w:color w:val="1F1A17"/>
        </w:rPr>
        <w:t xml:space="preserve"> ki bu son on yıldaki yatırımların neredeyse iki katı</w:t>
      </w:r>
      <w:r w:rsidR="00384C4A">
        <w:rPr>
          <w:rFonts w:ascii="Arial" w:hAnsi="Arial" w:cs="Arial"/>
          <w:color w:val="1F1A17"/>
        </w:rPr>
        <w:t>dır</w:t>
      </w:r>
      <w:r w:rsidRPr="005A1677">
        <w:rPr>
          <w:rFonts w:ascii="Arial" w:hAnsi="Arial" w:cs="Arial"/>
          <w:color w:val="1F1A17"/>
        </w:rPr>
        <w:t xml:space="preserve">. Türkiye’nin 2023 için hırslı vizyonu, Cumhuriyetin 100’üncü yılı olma dolayısı </w:t>
      </w:r>
      <w:r w:rsidRPr="005A1677" w:rsidR="00445C63">
        <w:rPr>
          <w:rFonts w:ascii="Arial" w:hAnsi="Arial" w:cs="Arial"/>
          <w:color w:val="1F1A17"/>
        </w:rPr>
        <w:t>ile</w:t>
      </w:r>
      <w:r w:rsidRPr="005A1677">
        <w:rPr>
          <w:rFonts w:ascii="Arial" w:hAnsi="Arial" w:cs="Arial"/>
          <w:color w:val="1F1A17"/>
        </w:rPr>
        <w:t xml:space="preserve"> Türkiye’deki enerji sektörü açısından ç</w:t>
      </w:r>
      <w:r w:rsidR="00384C4A">
        <w:rPr>
          <w:rFonts w:ascii="Arial" w:hAnsi="Arial" w:cs="Arial"/>
          <w:color w:val="1F1A17"/>
        </w:rPr>
        <w:t>ok büyük hedefler ortaya koymaktadır</w:t>
      </w:r>
      <w:r w:rsidRPr="005A1677">
        <w:rPr>
          <w:rFonts w:ascii="Arial" w:hAnsi="Arial" w:cs="Arial"/>
          <w:color w:val="1F1A17"/>
        </w:rPr>
        <w:t>.</w:t>
      </w:r>
    </w:p>
    <w:p w:rsidR="00036A52" w:rsidRPr="00162D10" w:rsidP="00036A52">
      <w:pPr>
        <w:widowControl w:val="0"/>
        <w:autoSpaceDE w:val="0"/>
        <w:autoSpaceDN w:val="0"/>
        <w:adjustRightInd w:val="0"/>
        <w:spacing w:after="0" w:line="200" w:lineRule="exact"/>
        <w:rPr>
          <w:rFonts w:ascii="Times New Roman" w:hAnsi="Times New Roman"/>
          <w:sz w:val="24"/>
          <w:szCs w:val="24"/>
          <w:highlight w:val="magenta"/>
        </w:rPr>
      </w:pPr>
    </w:p>
    <w:p w:rsidR="00036A52" w:rsidRPr="00162D10" w:rsidP="00036A52">
      <w:pPr>
        <w:widowControl w:val="0"/>
        <w:autoSpaceDE w:val="0"/>
        <w:autoSpaceDN w:val="0"/>
        <w:adjustRightInd w:val="0"/>
        <w:spacing w:after="0" w:line="200" w:lineRule="exact"/>
        <w:rPr>
          <w:rFonts w:ascii="Times New Roman" w:hAnsi="Times New Roman"/>
          <w:sz w:val="24"/>
          <w:szCs w:val="24"/>
          <w:highlight w:val="magenta"/>
        </w:rPr>
      </w:pPr>
    </w:p>
    <w:p w:rsidR="00036A52" w:rsidRPr="00E43688" w:rsidP="00036A52">
      <w:pPr>
        <w:widowControl w:val="0"/>
        <w:autoSpaceDE w:val="0"/>
        <w:autoSpaceDN w:val="0"/>
        <w:adjustRightInd w:val="0"/>
        <w:spacing w:after="0" w:line="240" w:lineRule="auto"/>
        <w:ind w:right="-96"/>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4800" behindDoc="1" locked="0" layoutInCell="0" allowOverlap="1">
            <wp:simplePos x="0" y="0"/>
            <wp:positionH relativeFrom="page">
              <wp:posOffset>0</wp:posOffset>
            </wp:positionH>
            <wp:positionV relativeFrom="page">
              <wp:posOffset>377190</wp:posOffset>
            </wp:positionV>
            <wp:extent cx="7880350" cy="9897110"/>
            <wp:effectExtent l="0" t="0" r="0" b="0"/>
            <wp:wrapNone/>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49026" name="Picture 215"/>
                    <pic:cNvPicPr>
                      <a:picLocks noChangeAspect="1" noChangeArrowheads="1"/>
                    </pic:cNvPicPr>
                  </pic:nvPicPr>
                  <pic:blipFill>
                    <a:blip xmlns:r="http://schemas.openxmlformats.org/officeDocument/2006/relationships" r:embed="rId4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74" w:lineRule="exact"/>
        <w:rPr>
          <w:rFonts w:ascii="Times New Roman" w:hAnsi="Times New Roman"/>
          <w:sz w:val="24"/>
          <w:szCs w:val="24"/>
        </w:rPr>
      </w:pPr>
    </w:p>
    <w:p w:rsidR="00036A52" w:rsidP="00036A52">
      <w:pPr>
        <w:widowControl w:val="0"/>
        <w:autoSpaceDE w:val="0"/>
        <w:autoSpaceDN w:val="0"/>
        <w:adjustRightInd w:val="0"/>
        <w:spacing w:after="0" w:line="250" w:lineRule="exact"/>
        <w:rPr>
          <w:rFonts w:ascii="Arial" w:hAnsi="Arial" w:cs="Arial"/>
          <w:b/>
          <w:bCs/>
          <w:color w:val="E87817"/>
        </w:rPr>
      </w:pPr>
      <w:r w:rsidRPr="00737CAA">
        <w:rPr>
          <w:rFonts w:ascii="Arial" w:hAnsi="Arial" w:cs="Arial"/>
          <w:b/>
          <w:bCs/>
          <w:color w:val="E87817"/>
        </w:rPr>
        <w:t>Türk Enerji Sektörünün, 2005-2020 Yatırım İhtiyaçları</w:t>
      </w:r>
    </w:p>
    <w:p w:rsidR="00036A52" w:rsidRPr="00E43688" w:rsidP="00036A52">
      <w:pPr>
        <w:widowControl w:val="0"/>
        <w:autoSpaceDE w:val="0"/>
        <w:autoSpaceDN w:val="0"/>
        <w:adjustRightInd w:val="0"/>
        <w:spacing w:after="0" w:line="250" w:lineRule="exact"/>
        <w:rPr>
          <w:rFonts w:ascii="Times New Roman" w:hAnsi="Times New Roman"/>
          <w:sz w:val="24"/>
          <w:szCs w:val="24"/>
        </w:rPr>
      </w:pPr>
    </w:p>
    <w:tbl>
      <w:tblPr>
        <w:tblW w:w="0" w:type="auto"/>
        <w:tblLayout w:type="fixed"/>
        <w:tblCellMar>
          <w:left w:w="0" w:type="dxa"/>
          <w:right w:w="0" w:type="dxa"/>
        </w:tblCellMar>
        <w:tblLook w:val="0000"/>
      </w:tblPr>
      <w:tblGrid>
        <w:gridCol w:w="3940"/>
        <w:gridCol w:w="3980"/>
      </w:tblGrid>
      <w:tr w:rsidTr="00036A52">
        <w:tblPrEx>
          <w:tblW w:w="0" w:type="auto"/>
          <w:tblLayout w:type="fixed"/>
          <w:tblCellMar>
            <w:left w:w="0" w:type="dxa"/>
            <w:right w:w="0" w:type="dxa"/>
          </w:tblCellMar>
          <w:tblLook w:val="0000"/>
        </w:tblPrEx>
        <w:trPr>
          <w:trHeight w:val="336"/>
        </w:trPr>
        <w:tc>
          <w:tcPr>
            <w:tcW w:w="394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b/>
                <w:bCs/>
                <w:color w:val="FFFFFF"/>
                <w:sz w:val="20"/>
                <w:szCs w:val="20"/>
              </w:rPr>
              <w:t>Se</w:t>
            </w:r>
            <w:r>
              <w:rPr>
                <w:rFonts w:ascii="Arial" w:hAnsi="Arial" w:cs="Arial"/>
                <w:b/>
                <w:bCs/>
                <w:color w:val="FFFFFF"/>
                <w:sz w:val="20"/>
                <w:szCs w:val="20"/>
              </w:rPr>
              <w:t>ktör</w:t>
            </w:r>
          </w:p>
        </w:tc>
        <w:tc>
          <w:tcPr>
            <w:tcW w:w="3980" w:type="dxa"/>
            <w:tcBorders>
              <w:top w:val="nil"/>
              <w:left w:val="nil"/>
              <w:bottom w:val="single" w:sz="8" w:space="0" w:color="E87817"/>
              <w:right w:val="nil"/>
            </w:tcBorders>
            <w:shd w:val="clear" w:color="auto" w:fill="E87817"/>
            <w:vAlign w:val="bottom"/>
          </w:tcPr>
          <w:p w:rsidR="00036A52" w:rsidRPr="00E43688" w:rsidP="00036A52">
            <w:pPr>
              <w:widowControl w:val="0"/>
              <w:autoSpaceDE w:val="0"/>
              <w:autoSpaceDN w:val="0"/>
              <w:adjustRightInd w:val="0"/>
              <w:spacing w:after="0" w:line="240" w:lineRule="auto"/>
              <w:ind w:left="1820"/>
              <w:rPr>
                <w:rFonts w:ascii="Times New Roman" w:hAnsi="Times New Roman"/>
                <w:sz w:val="24"/>
                <w:szCs w:val="24"/>
              </w:rPr>
            </w:pPr>
            <w:r>
              <w:rPr>
                <w:rFonts w:ascii="Arial" w:hAnsi="Arial" w:cs="Arial"/>
                <w:b/>
                <w:bCs/>
                <w:color w:val="FFFFFF"/>
                <w:sz w:val="20"/>
                <w:szCs w:val="20"/>
              </w:rPr>
              <w:t xml:space="preserve">   Yatırım</w:t>
            </w:r>
            <w:r w:rsidRPr="00E43688">
              <w:rPr>
                <w:rFonts w:ascii="Arial" w:hAnsi="Arial" w:cs="Arial"/>
                <w:b/>
                <w:bCs/>
                <w:color w:val="FFFFFF"/>
                <w:sz w:val="20"/>
                <w:szCs w:val="20"/>
              </w:rPr>
              <w:t>, $ Mn</w:t>
            </w:r>
          </w:p>
        </w:tc>
      </w:tr>
      <w:tr w:rsidTr="00036A52">
        <w:tblPrEx>
          <w:tblW w:w="0" w:type="auto"/>
          <w:tblLayout w:type="fixed"/>
          <w:tblCellMar>
            <w:left w:w="0" w:type="dxa"/>
            <w:right w:w="0" w:type="dxa"/>
          </w:tblCellMar>
          <w:tblLook w:val="0000"/>
        </w:tblPrEx>
        <w:trPr>
          <w:trHeight w:val="336"/>
        </w:trPr>
        <w:tc>
          <w:tcPr>
            <w:tcW w:w="39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Kömür arama</w:t>
            </w:r>
          </w:p>
        </w:tc>
        <w:tc>
          <w:tcPr>
            <w:tcW w:w="39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49"/>
              <w:jc w:val="center"/>
              <w:rPr>
                <w:rFonts w:ascii="Times New Roman" w:hAnsi="Times New Roman"/>
                <w:sz w:val="24"/>
                <w:szCs w:val="24"/>
              </w:rPr>
            </w:pPr>
            <w:r w:rsidRPr="00E43688">
              <w:rPr>
                <w:rFonts w:ascii="Arial" w:hAnsi="Arial" w:cs="Arial"/>
                <w:color w:val="1F1A17"/>
                <w:w w:val="97"/>
                <w:sz w:val="18"/>
                <w:szCs w:val="18"/>
              </w:rPr>
              <w:t>5,109</w:t>
            </w:r>
          </w:p>
        </w:tc>
      </w:tr>
      <w:tr w:rsidTr="00036A52">
        <w:tblPrEx>
          <w:tblW w:w="0" w:type="auto"/>
          <w:tblLayout w:type="fixed"/>
          <w:tblCellMar>
            <w:left w:w="0" w:type="dxa"/>
            <w:right w:w="0" w:type="dxa"/>
          </w:tblCellMar>
          <w:tblLook w:val="0000"/>
        </w:tblPrEx>
        <w:trPr>
          <w:trHeight w:val="319"/>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Petrol</w:t>
            </w: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49"/>
              <w:jc w:val="center"/>
              <w:rPr>
                <w:rFonts w:ascii="Times New Roman" w:hAnsi="Times New Roman"/>
                <w:sz w:val="24"/>
                <w:szCs w:val="24"/>
              </w:rPr>
            </w:pPr>
            <w:r w:rsidRPr="00E43688">
              <w:rPr>
                <w:rFonts w:ascii="Arial" w:hAnsi="Arial" w:cs="Arial"/>
                <w:color w:val="1F1A17"/>
                <w:sz w:val="18"/>
                <w:szCs w:val="18"/>
              </w:rPr>
              <w:t>16,000</w:t>
            </w:r>
          </w:p>
        </w:tc>
      </w:tr>
      <w:tr w:rsidTr="00036A52">
        <w:tblPrEx>
          <w:tblW w:w="0" w:type="auto"/>
          <w:tblLayout w:type="fixed"/>
          <w:tblCellMar>
            <w:left w:w="0" w:type="dxa"/>
            <w:right w:w="0" w:type="dxa"/>
          </w:tblCellMar>
          <w:tblLook w:val="0000"/>
        </w:tblPrEx>
        <w:trPr>
          <w:trHeight w:val="37"/>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r>
      <w:tr w:rsidTr="00036A52">
        <w:tblPrEx>
          <w:tblW w:w="0" w:type="auto"/>
          <w:tblLayout w:type="fixed"/>
          <w:tblCellMar>
            <w:left w:w="0" w:type="dxa"/>
            <w:right w:w="0" w:type="dxa"/>
          </w:tblCellMar>
          <w:tblLook w:val="0000"/>
        </w:tblPrEx>
        <w:trPr>
          <w:trHeight w:val="336"/>
        </w:trPr>
        <w:tc>
          <w:tcPr>
            <w:tcW w:w="39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Doğal Kaynaklar</w:t>
            </w:r>
          </w:p>
        </w:tc>
        <w:tc>
          <w:tcPr>
            <w:tcW w:w="39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29"/>
              <w:jc w:val="center"/>
              <w:rPr>
                <w:rFonts w:ascii="Times New Roman" w:hAnsi="Times New Roman"/>
                <w:sz w:val="24"/>
                <w:szCs w:val="24"/>
              </w:rPr>
            </w:pPr>
            <w:r w:rsidRPr="00E43688">
              <w:rPr>
                <w:rFonts w:ascii="Arial" w:hAnsi="Arial" w:cs="Arial"/>
                <w:color w:val="1F1A17"/>
                <w:sz w:val="18"/>
                <w:szCs w:val="18"/>
              </w:rPr>
              <w:t>2,700</w:t>
            </w:r>
          </w:p>
        </w:tc>
      </w:tr>
      <w:tr w:rsidTr="00036A52">
        <w:tblPrEx>
          <w:tblW w:w="0" w:type="auto"/>
          <w:tblLayout w:type="fixed"/>
          <w:tblCellMar>
            <w:left w:w="0" w:type="dxa"/>
            <w:right w:w="0" w:type="dxa"/>
          </w:tblCellMar>
          <w:tblLook w:val="0000"/>
        </w:tblPrEx>
        <w:trPr>
          <w:trHeight w:val="308"/>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Su</w:t>
            </w:r>
            <w:r w:rsidRPr="00E43688">
              <w:rPr>
                <w:rFonts w:ascii="Arial" w:hAnsi="Arial" w:cs="Arial"/>
                <w:color w:val="1F1A17"/>
                <w:sz w:val="18"/>
                <w:szCs w:val="18"/>
              </w:rPr>
              <w:t xml:space="preserve"> (DSI)</w:t>
            </w: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49"/>
              <w:jc w:val="center"/>
              <w:rPr>
                <w:rFonts w:ascii="Times New Roman" w:hAnsi="Times New Roman"/>
                <w:sz w:val="24"/>
                <w:szCs w:val="24"/>
              </w:rPr>
            </w:pPr>
            <w:r w:rsidRPr="00E43688">
              <w:rPr>
                <w:rFonts w:ascii="Arial" w:hAnsi="Arial" w:cs="Arial"/>
                <w:color w:val="1F1A17"/>
                <w:w w:val="97"/>
                <w:sz w:val="18"/>
                <w:szCs w:val="18"/>
              </w:rPr>
              <w:t>6,093</w:t>
            </w:r>
          </w:p>
        </w:tc>
      </w:tr>
      <w:tr w:rsidTr="00036A52">
        <w:tblPrEx>
          <w:tblW w:w="0" w:type="auto"/>
          <w:tblLayout w:type="fixed"/>
          <w:tblCellMar>
            <w:left w:w="0" w:type="dxa"/>
            <w:right w:w="0" w:type="dxa"/>
          </w:tblCellMar>
          <w:tblLook w:val="0000"/>
        </w:tblPrEx>
        <w:trPr>
          <w:trHeight w:val="48"/>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4"/>
                <w:szCs w:val="4"/>
              </w:rPr>
            </w:pPr>
          </w:p>
        </w:tc>
      </w:tr>
      <w:tr w:rsidTr="00036A52">
        <w:tblPrEx>
          <w:tblW w:w="0" w:type="auto"/>
          <w:tblLayout w:type="fixed"/>
          <w:tblCellMar>
            <w:left w:w="0" w:type="dxa"/>
            <w:right w:w="0" w:type="dxa"/>
          </w:tblCellMar>
          <w:tblLook w:val="0000"/>
        </w:tblPrEx>
        <w:trPr>
          <w:trHeight w:val="336"/>
        </w:trPr>
        <w:tc>
          <w:tcPr>
            <w:tcW w:w="39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Üretim</w:t>
            </w:r>
            <w:r w:rsidRPr="00E43688">
              <w:rPr>
                <w:rFonts w:ascii="Arial" w:hAnsi="Arial" w:cs="Arial"/>
                <w:color w:val="1F1A17"/>
                <w:sz w:val="18"/>
                <w:szCs w:val="18"/>
              </w:rPr>
              <w:t xml:space="preserve"> (EUA$)</w:t>
            </w:r>
          </w:p>
        </w:tc>
        <w:tc>
          <w:tcPr>
            <w:tcW w:w="39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29"/>
              <w:jc w:val="center"/>
              <w:rPr>
                <w:rFonts w:ascii="Times New Roman" w:hAnsi="Times New Roman"/>
                <w:sz w:val="24"/>
                <w:szCs w:val="24"/>
              </w:rPr>
            </w:pPr>
            <w:r w:rsidRPr="00E43688">
              <w:rPr>
                <w:rFonts w:ascii="Arial" w:hAnsi="Arial" w:cs="Arial"/>
                <w:color w:val="1F1A17"/>
                <w:w w:val="99"/>
                <w:sz w:val="18"/>
                <w:szCs w:val="18"/>
              </w:rPr>
              <w:t>458</w:t>
            </w:r>
          </w:p>
        </w:tc>
      </w:tr>
      <w:tr w:rsidTr="00036A52">
        <w:tblPrEx>
          <w:tblW w:w="0" w:type="auto"/>
          <w:tblLayout w:type="fixed"/>
          <w:tblCellMar>
            <w:left w:w="0" w:type="dxa"/>
            <w:right w:w="0" w:type="dxa"/>
          </w:tblCellMar>
          <w:tblLook w:val="0000"/>
        </w:tblPrEx>
        <w:trPr>
          <w:trHeight w:val="296"/>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Yeni Üretim Tesisleri</w:t>
            </w: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29"/>
              <w:jc w:val="center"/>
              <w:rPr>
                <w:rFonts w:ascii="Times New Roman" w:hAnsi="Times New Roman"/>
                <w:sz w:val="24"/>
                <w:szCs w:val="24"/>
              </w:rPr>
            </w:pPr>
            <w:r w:rsidRPr="00E43688">
              <w:rPr>
                <w:rFonts w:ascii="Arial" w:hAnsi="Arial" w:cs="Arial"/>
                <w:color w:val="1F1A17"/>
                <w:w w:val="97"/>
                <w:sz w:val="18"/>
                <w:szCs w:val="18"/>
              </w:rPr>
              <w:t>91,276</w:t>
            </w:r>
          </w:p>
        </w:tc>
      </w:tr>
      <w:tr w:rsidTr="00036A52">
        <w:tblPrEx>
          <w:tblW w:w="0" w:type="auto"/>
          <w:tblLayout w:type="fixed"/>
          <w:tblCellMar>
            <w:left w:w="0" w:type="dxa"/>
            <w:right w:w="0" w:type="dxa"/>
          </w:tblCellMar>
          <w:tblLook w:val="0000"/>
        </w:tblPrEx>
        <w:trPr>
          <w:trHeight w:val="59"/>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91"/>
        </w:trPr>
        <w:tc>
          <w:tcPr>
            <w:tcW w:w="39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color w:val="1F1A17"/>
                <w:sz w:val="18"/>
                <w:szCs w:val="18"/>
              </w:rPr>
              <w:t>Aktarma</w:t>
            </w:r>
          </w:p>
        </w:tc>
        <w:tc>
          <w:tcPr>
            <w:tcW w:w="39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29"/>
              <w:jc w:val="center"/>
              <w:rPr>
                <w:rFonts w:ascii="Times New Roman" w:hAnsi="Times New Roman"/>
                <w:sz w:val="24"/>
                <w:szCs w:val="24"/>
              </w:rPr>
            </w:pPr>
            <w:r w:rsidRPr="00E43688">
              <w:rPr>
                <w:rFonts w:ascii="Arial" w:hAnsi="Arial" w:cs="Arial"/>
                <w:color w:val="1F1A17"/>
                <w:w w:val="99"/>
                <w:sz w:val="18"/>
                <w:szCs w:val="18"/>
              </w:rPr>
              <w:t>938</w:t>
            </w:r>
          </w:p>
        </w:tc>
      </w:tr>
      <w:tr w:rsidTr="00036A52">
        <w:tblPrEx>
          <w:tblW w:w="0" w:type="auto"/>
          <w:tblLayout w:type="fixed"/>
          <w:tblCellMar>
            <w:left w:w="0" w:type="dxa"/>
            <w:right w:w="0" w:type="dxa"/>
          </w:tblCellMar>
          <w:tblLook w:val="0000"/>
        </w:tblPrEx>
        <w:trPr>
          <w:trHeight w:val="65"/>
        </w:trPr>
        <w:tc>
          <w:tcPr>
            <w:tcW w:w="39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c>
          <w:tcPr>
            <w:tcW w:w="39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5"/>
                <w:szCs w:val="5"/>
              </w:rPr>
            </w:pPr>
          </w:p>
        </w:tc>
      </w:tr>
      <w:tr w:rsidTr="00036A52">
        <w:tblPrEx>
          <w:tblW w:w="0" w:type="auto"/>
          <w:tblLayout w:type="fixed"/>
          <w:tblCellMar>
            <w:left w:w="0" w:type="dxa"/>
            <w:right w:w="0" w:type="dxa"/>
          </w:tblCellMar>
          <w:tblLook w:val="0000"/>
        </w:tblPrEx>
        <w:trPr>
          <w:trHeight w:val="285"/>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D</w:t>
            </w:r>
            <w:r>
              <w:rPr>
                <w:rFonts w:ascii="Arial" w:hAnsi="Arial" w:cs="Arial"/>
                <w:color w:val="1F1A17"/>
                <w:sz w:val="18"/>
                <w:szCs w:val="18"/>
              </w:rPr>
              <w:t>ağıtma</w:t>
            </w: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29"/>
              <w:jc w:val="center"/>
              <w:rPr>
                <w:rFonts w:ascii="Times New Roman" w:hAnsi="Times New Roman"/>
                <w:sz w:val="24"/>
                <w:szCs w:val="24"/>
              </w:rPr>
            </w:pPr>
            <w:r w:rsidRPr="00E43688">
              <w:rPr>
                <w:rFonts w:ascii="Arial" w:hAnsi="Arial" w:cs="Arial"/>
                <w:color w:val="1F1A17"/>
                <w:sz w:val="18"/>
                <w:szCs w:val="18"/>
              </w:rPr>
              <w:t>6,000</w:t>
            </w:r>
          </w:p>
        </w:tc>
      </w:tr>
      <w:tr w:rsidTr="00036A52">
        <w:tblPrEx>
          <w:tblW w:w="0" w:type="auto"/>
          <w:tblLayout w:type="fixed"/>
          <w:tblCellMar>
            <w:left w:w="0" w:type="dxa"/>
            <w:right w:w="0" w:type="dxa"/>
          </w:tblCellMar>
          <w:tblLook w:val="0000"/>
        </w:tblPrEx>
        <w:trPr>
          <w:trHeight w:val="71"/>
        </w:trPr>
        <w:tc>
          <w:tcPr>
            <w:tcW w:w="39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39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r>
      <w:tr w:rsidTr="00036A52">
        <w:tblPrEx>
          <w:tblW w:w="0" w:type="auto"/>
          <w:tblLayout w:type="fixed"/>
          <w:tblCellMar>
            <w:left w:w="0" w:type="dxa"/>
            <w:right w:w="0" w:type="dxa"/>
          </w:tblCellMar>
          <w:tblLook w:val="0000"/>
        </w:tblPrEx>
        <w:trPr>
          <w:trHeight w:val="279"/>
        </w:trPr>
        <w:tc>
          <w:tcPr>
            <w:tcW w:w="39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b/>
                <w:bCs/>
                <w:color w:val="1F1A17"/>
                <w:sz w:val="18"/>
                <w:szCs w:val="18"/>
              </w:rPr>
              <w:t>To</w:t>
            </w:r>
            <w:r>
              <w:rPr>
                <w:rFonts w:ascii="Arial" w:hAnsi="Arial" w:cs="Arial"/>
                <w:b/>
                <w:bCs/>
                <w:color w:val="1F1A17"/>
                <w:sz w:val="18"/>
                <w:szCs w:val="18"/>
              </w:rPr>
              <w:t>plam</w:t>
            </w:r>
          </w:p>
        </w:tc>
        <w:tc>
          <w:tcPr>
            <w:tcW w:w="39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49"/>
              <w:jc w:val="center"/>
              <w:rPr>
                <w:rFonts w:ascii="Times New Roman" w:hAnsi="Times New Roman"/>
                <w:sz w:val="24"/>
                <w:szCs w:val="24"/>
              </w:rPr>
            </w:pPr>
            <w:r w:rsidRPr="00E43688">
              <w:rPr>
                <w:rFonts w:ascii="Arial" w:hAnsi="Arial" w:cs="Arial"/>
                <w:b/>
                <w:bCs/>
                <w:color w:val="1F1A17"/>
                <w:w w:val="98"/>
                <w:sz w:val="18"/>
                <w:szCs w:val="18"/>
              </w:rPr>
              <w:t>128,574</w:t>
            </w:r>
          </w:p>
        </w:tc>
      </w:tr>
      <w:tr w:rsidTr="00036A52">
        <w:tblPrEx>
          <w:tblW w:w="0" w:type="auto"/>
          <w:tblLayout w:type="fixed"/>
          <w:tblCellMar>
            <w:left w:w="0" w:type="dxa"/>
            <w:right w:w="0" w:type="dxa"/>
          </w:tblCellMar>
          <w:tblLook w:val="0000"/>
        </w:tblPrEx>
        <w:trPr>
          <w:trHeight w:val="76"/>
        </w:trPr>
        <w:tc>
          <w:tcPr>
            <w:tcW w:w="39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c>
          <w:tcPr>
            <w:tcW w:w="39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6"/>
                <w:szCs w:val="6"/>
              </w:rPr>
            </w:pPr>
          </w:p>
        </w:tc>
      </w:tr>
    </w:tbl>
    <w:p w:rsidR="00036A52" w:rsidRPr="00E43688" w:rsidP="00036A52">
      <w:pPr>
        <w:widowControl w:val="0"/>
        <w:autoSpaceDE w:val="0"/>
        <w:autoSpaceDN w:val="0"/>
        <w:adjustRightInd w:val="0"/>
        <w:spacing w:after="0" w:line="240"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i/>
          <w:iCs/>
          <w:color w:val="1F1A17"/>
          <w:sz w:val="16"/>
          <w:szCs w:val="16"/>
        </w:rPr>
        <w:t>Kaynak</w:t>
      </w:r>
      <w:r w:rsidRPr="00E43688">
        <w:rPr>
          <w:rFonts w:ascii="Arial" w:hAnsi="Arial" w:cs="Arial"/>
          <w:i/>
          <w:iCs/>
          <w:color w:val="1F1A17"/>
          <w:sz w:val="16"/>
          <w:szCs w:val="16"/>
        </w:rPr>
        <w:t xml:space="preserve">: </w:t>
      </w:r>
      <w:r>
        <w:rPr>
          <w:rFonts w:ascii="Arial" w:hAnsi="Arial" w:cs="Arial"/>
          <w:i/>
          <w:iCs/>
          <w:color w:val="1F1A17"/>
          <w:sz w:val="16"/>
          <w:szCs w:val="16"/>
        </w:rPr>
        <w:t>Enerji Bakanlığı</w:t>
      </w:r>
      <w:r w:rsidRPr="00065DBD">
        <w:rPr>
          <w:rFonts w:ascii="Arial" w:hAnsi="Arial" w:cs="Arial"/>
          <w:i/>
          <w:iCs/>
          <w:color w:val="1F1A17"/>
          <w:sz w:val="16"/>
          <w:szCs w:val="16"/>
        </w:rPr>
        <w:t>(ETKB</w:t>
      </w:r>
      <w:r w:rsidRPr="00E43688">
        <w:rPr>
          <w:rFonts w:ascii="Arial" w:hAnsi="Arial" w:cs="Arial"/>
          <w:i/>
          <w:iCs/>
          <w:color w:val="1F1A17"/>
          <w:sz w:val="16"/>
          <w:szCs w:val="16"/>
        </w:rPr>
        <w:t>)</w:t>
      </w:r>
    </w:p>
    <w:p w:rsidR="00036A52" w:rsidRPr="00E43688" w:rsidP="00036A52">
      <w:pPr>
        <w:widowControl w:val="0"/>
        <w:autoSpaceDE w:val="0"/>
        <w:autoSpaceDN w:val="0"/>
        <w:adjustRightInd w:val="0"/>
        <w:spacing w:after="0" w:line="252"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0A408A"/>
          <w:sz w:val="30"/>
          <w:szCs w:val="30"/>
        </w:rPr>
        <w:t>Hindistan’da Enerji Sektörü</w:t>
      </w:r>
    </w:p>
    <w:p w:rsidR="00036A52" w:rsidRPr="00E43688" w:rsidP="00036A52">
      <w:pPr>
        <w:widowControl w:val="0"/>
        <w:autoSpaceDE w:val="0"/>
        <w:autoSpaceDN w:val="0"/>
        <w:adjustRightInd w:val="0"/>
        <w:spacing w:after="0" w:line="253"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ind w:firstLine="1"/>
        <w:jc w:val="both"/>
        <w:rPr>
          <w:rFonts w:ascii="Times New Roman" w:hAnsi="Times New Roman"/>
          <w:sz w:val="24"/>
          <w:szCs w:val="24"/>
        </w:rPr>
      </w:pPr>
      <w:r>
        <w:rPr>
          <w:rFonts w:ascii="Arial" w:hAnsi="Arial" w:cs="Arial"/>
          <w:color w:val="1F1A17"/>
        </w:rPr>
        <w:t xml:space="preserve">Hindistan, 1,25 milyarlık nüfusun ihtiyacını karşılayan şu anki 230 GW’lik elektrik üretim kapasitesiyle, dünyada ekonomisi en hızlı büyüyen ülkelerden </w:t>
      </w:r>
      <w:r w:rsidR="00445C63">
        <w:rPr>
          <w:rFonts w:ascii="Arial" w:hAnsi="Arial" w:cs="Arial"/>
          <w:color w:val="1F1A17"/>
        </w:rPr>
        <w:t>biridir. Hindistan’ın</w:t>
      </w:r>
      <w:r>
        <w:rPr>
          <w:rFonts w:ascii="Arial" w:hAnsi="Arial" w:cs="Arial"/>
          <w:color w:val="1F1A17"/>
        </w:rPr>
        <w:t xml:space="preserve"> adam başı takriben 600 kWh’lik yıllık enerji tüketimi, Brezilya ve Çin gibi gelişen ülkelerle de karşılaştırıldığında, dünyadaki en az tüketimlerden </w:t>
      </w:r>
      <w:r w:rsidR="00445C63">
        <w:rPr>
          <w:rFonts w:ascii="Arial" w:hAnsi="Arial" w:cs="Arial"/>
          <w:color w:val="1F1A17"/>
        </w:rPr>
        <w:t>biridir. Bu</w:t>
      </w:r>
      <w:r>
        <w:rPr>
          <w:rFonts w:ascii="Arial" w:hAnsi="Arial" w:cs="Arial"/>
          <w:color w:val="1F1A17"/>
        </w:rPr>
        <w:t>, enerji altyapısını elektriğe dönüştürmek için, hala elektriğe temel erişim eksikliğinin olduğu 400 milyon üzerinde hane halkının enerji devrimine ihtiyaç duyduğu, on yıllık bir süreçtir.</w:t>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8" w:lineRule="auto"/>
        <w:jc w:val="both"/>
        <w:rPr>
          <w:rFonts w:ascii="Times New Roman" w:hAnsi="Times New Roman"/>
          <w:sz w:val="24"/>
          <w:szCs w:val="24"/>
        </w:rPr>
      </w:pPr>
      <w:r>
        <w:rPr>
          <w:rFonts w:ascii="Arial" w:hAnsi="Arial" w:cs="Arial"/>
          <w:color w:val="1F1A17"/>
        </w:rPr>
        <w:t>Aynı zamanda, Hindistan sürekli, sürdürülebilir yaşamların olduğu, yeşil şehirlere doğru bir hareketin hafife alındığı enerji kalitesi ve enerji erişimi için aynı seviyeyi arayan 300 milyonu aşkın (takriben Amerika boyutunda) orta sınıf nüf</w:t>
      </w:r>
      <w:r w:rsidR="00384C4A">
        <w:rPr>
          <w:rFonts w:ascii="Arial" w:hAnsi="Arial" w:cs="Arial"/>
          <w:color w:val="1F1A17"/>
        </w:rPr>
        <w:t>usunun olmasıyla da gurur duymaktadır</w:t>
      </w:r>
      <w:r>
        <w:rPr>
          <w:rFonts w:ascii="Arial" w:hAnsi="Arial" w:cs="Arial"/>
          <w:color w:val="1F1A17"/>
        </w:rPr>
        <w:t>.</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9" w:lineRule="auto"/>
        <w:jc w:val="both"/>
        <w:rPr>
          <w:rFonts w:ascii="Times New Roman" w:hAnsi="Times New Roman"/>
          <w:sz w:val="24"/>
          <w:szCs w:val="24"/>
        </w:rPr>
      </w:pPr>
      <w:r>
        <w:rPr>
          <w:rFonts w:ascii="Arial" w:hAnsi="Arial" w:cs="Arial"/>
          <w:color w:val="1F1A17"/>
        </w:rPr>
        <w:t>Hindistan’da yeni seçilen hükümet, son 2 ayda, devam eden yenilenebilir enerji yayılmalarının sürmesi için sert hedefler koydu, enerji altyapısının gelişmesini ta</w:t>
      </w:r>
      <w:r w:rsidR="00384C4A">
        <w:rPr>
          <w:rFonts w:ascii="Arial" w:hAnsi="Arial" w:cs="Arial"/>
          <w:color w:val="1F1A17"/>
        </w:rPr>
        <w:t>kip etmek için pek çok adım atmıştır</w:t>
      </w:r>
      <w:r>
        <w:rPr>
          <w:rFonts w:ascii="Arial" w:hAnsi="Arial" w:cs="Arial"/>
          <w:color w:val="1F1A17"/>
        </w:rPr>
        <w:t>.</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84" w:lineRule="auto"/>
        <w:jc w:val="both"/>
        <w:rPr>
          <w:rFonts w:ascii="Times New Roman" w:hAnsi="Times New Roman"/>
          <w:sz w:val="24"/>
          <w:szCs w:val="24"/>
        </w:rPr>
      </w:pPr>
      <w:r>
        <w:rPr>
          <w:rFonts w:ascii="Arial" w:hAnsi="Arial" w:cs="Arial"/>
          <w:color w:val="1F1A17"/>
        </w:rPr>
        <w:t>Politika yapıcılar, depolama ve mikro kılavuzların büyümesine sevk eden bazı ana</w:t>
      </w:r>
      <w:r w:rsidR="00384C4A">
        <w:rPr>
          <w:rFonts w:ascii="Arial" w:hAnsi="Arial" w:cs="Arial"/>
          <w:color w:val="1F1A17"/>
        </w:rPr>
        <w:t>htar inisiyatifler kullanmaktadırlar</w:t>
      </w:r>
      <w:r w:rsidRPr="00E43688">
        <w:rPr>
          <w:rFonts w:ascii="Arial" w:hAnsi="Arial" w:cs="Arial"/>
          <w:color w:val="1F1A17"/>
        </w:rPr>
        <w:t>:</w:t>
      </w:r>
    </w:p>
    <w:p w:rsidR="00036A52" w:rsidRPr="00E43688" w:rsidP="00036A52">
      <w:pPr>
        <w:widowControl w:val="0"/>
        <w:autoSpaceDE w:val="0"/>
        <w:autoSpaceDN w:val="0"/>
        <w:adjustRightInd w:val="0"/>
        <w:spacing w:after="0" w:line="211" w:lineRule="exact"/>
        <w:rPr>
          <w:rFonts w:ascii="Times New Roman" w:hAnsi="Times New Roman"/>
          <w:sz w:val="24"/>
          <w:szCs w:val="24"/>
        </w:rPr>
      </w:pPr>
    </w:p>
    <w:p w:rsidR="00036A52" w:rsidRPr="00E43688" w:rsidP="00036A52">
      <w:pPr>
        <w:widowControl w:val="0"/>
        <w:numPr>
          <w:ilvl w:val="0"/>
          <w:numId w:val="25"/>
        </w:numPr>
        <w:tabs>
          <w:tab w:val="num" w:pos="712"/>
          <w:tab w:val="clear" w:pos="720"/>
        </w:tabs>
        <w:overflowPunct w:val="0"/>
        <w:autoSpaceDE w:val="0"/>
        <w:autoSpaceDN w:val="0"/>
        <w:adjustRightInd w:val="0"/>
        <w:spacing w:after="0" w:line="279" w:lineRule="auto"/>
        <w:ind w:hanging="358"/>
        <w:jc w:val="both"/>
        <w:rPr>
          <w:rFonts w:ascii="Arial" w:hAnsi="Arial" w:cs="Arial"/>
          <w:color w:val="1F1A17"/>
        </w:rPr>
      </w:pPr>
      <w:r>
        <w:rPr>
          <w:rFonts w:ascii="Arial" w:hAnsi="Arial" w:cs="Arial"/>
          <w:color w:val="1F1A17"/>
        </w:rPr>
        <w:t xml:space="preserve">Hindistan temiz enerji teknolojilerini, 30-50 GW’lik yeni </w:t>
      </w:r>
      <w:r w:rsidR="00445C63">
        <w:rPr>
          <w:rFonts w:ascii="Arial" w:hAnsi="Arial" w:cs="Arial"/>
          <w:color w:val="1F1A17"/>
        </w:rPr>
        <w:t>rüzgâr</w:t>
      </w:r>
      <w:r>
        <w:rPr>
          <w:rFonts w:ascii="Arial" w:hAnsi="Arial" w:cs="Arial"/>
          <w:color w:val="1F1A17"/>
        </w:rPr>
        <w:t xml:space="preserve"> enerjisi ve 2020’ye kadar 20-30 GW’lik güneş enerjisinin eklenmesiyle bi</w:t>
      </w:r>
      <w:r w:rsidR="00384C4A">
        <w:rPr>
          <w:rFonts w:ascii="Arial" w:hAnsi="Arial" w:cs="Arial"/>
          <w:color w:val="1F1A17"/>
        </w:rPr>
        <w:t>rlikte, hızla benimsemeyi ummaktadır</w:t>
      </w:r>
      <w:r>
        <w:rPr>
          <w:rFonts w:ascii="Arial" w:hAnsi="Arial" w:cs="Arial"/>
          <w:color w:val="1F1A17"/>
        </w:rPr>
        <w:t>.</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8"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5824" behindDoc="1" locked="0" layoutInCell="0" allowOverlap="1">
            <wp:simplePos x="0" y="0"/>
            <wp:positionH relativeFrom="page">
              <wp:posOffset>-767715</wp:posOffset>
            </wp:positionH>
            <wp:positionV relativeFrom="page">
              <wp:posOffset>0</wp:posOffset>
            </wp:positionV>
            <wp:extent cx="7880350" cy="9446895"/>
            <wp:effectExtent l="0" t="0" r="0" b="0"/>
            <wp:wrapNone/>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65241" name="Picture 216"/>
                    <pic:cNvPicPr>
                      <a:picLocks noChangeAspect="1" noChangeArrowheads="1"/>
                    </pic:cNvPicPr>
                  </pic:nvPicPr>
                  <pic:blipFill>
                    <a:blip xmlns:r="http://schemas.openxmlformats.org/officeDocument/2006/relationships" r:embed="rId4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036A52">
      <w:pPr>
        <w:widowControl w:val="0"/>
        <w:numPr>
          <w:ilvl w:val="0"/>
          <w:numId w:val="26"/>
        </w:numPr>
        <w:tabs>
          <w:tab w:val="num" w:pos="712"/>
          <w:tab w:val="clear" w:pos="720"/>
        </w:tabs>
        <w:overflowPunct w:val="0"/>
        <w:autoSpaceDE w:val="0"/>
        <w:autoSpaceDN w:val="0"/>
        <w:adjustRightInd w:val="0"/>
        <w:spacing w:after="0" w:line="279" w:lineRule="auto"/>
        <w:ind w:hanging="357"/>
        <w:jc w:val="both"/>
        <w:rPr>
          <w:rFonts w:ascii="Arial" w:hAnsi="Arial" w:cs="Arial"/>
          <w:color w:val="1F1A17"/>
        </w:rPr>
      </w:pPr>
      <w:r>
        <w:rPr>
          <w:rFonts w:ascii="Arial" w:hAnsi="Arial" w:cs="Arial"/>
          <w:color w:val="1F1A17"/>
        </w:rPr>
        <w:t>Hindistan’ın, enerji erişimi olmayan kırsal alanlarda enerji erişimini sağlamak için, sermayeye kaynak yaratmada küçük sistemler kurmak amacıyla, çeşitli girişimleri vardır.</w:t>
      </w:r>
    </w:p>
    <w:p w:rsidR="00036A52" w:rsidRPr="00E43688" w:rsidP="00036A52">
      <w:pPr>
        <w:widowControl w:val="0"/>
        <w:autoSpaceDE w:val="0"/>
        <w:autoSpaceDN w:val="0"/>
        <w:adjustRightInd w:val="0"/>
        <w:spacing w:after="0" w:line="217" w:lineRule="exact"/>
        <w:rPr>
          <w:rFonts w:ascii="Arial" w:hAnsi="Arial" w:cs="Arial"/>
          <w:color w:val="1F1A17"/>
        </w:rPr>
      </w:pPr>
    </w:p>
    <w:p w:rsidR="00036A52" w:rsidRPr="00E43688" w:rsidP="00036A52">
      <w:pPr>
        <w:widowControl w:val="0"/>
        <w:numPr>
          <w:ilvl w:val="0"/>
          <w:numId w:val="26"/>
        </w:numPr>
        <w:tabs>
          <w:tab w:val="num" w:pos="712"/>
          <w:tab w:val="clear" w:pos="720"/>
        </w:tabs>
        <w:overflowPunct w:val="0"/>
        <w:autoSpaceDE w:val="0"/>
        <w:autoSpaceDN w:val="0"/>
        <w:adjustRightInd w:val="0"/>
        <w:spacing w:after="0" w:line="279" w:lineRule="auto"/>
        <w:ind w:hanging="358"/>
        <w:jc w:val="both"/>
        <w:rPr>
          <w:rFonts w:ascii="Arial" w:hAnsi="Arial" w:cs="Arial"/>
          <w:color w:val="1F1A17"/>
        </w:rPr>
      </w:pPr>
      <w:r>
        <w:rPr>
          <w:rFonts w:ascii="Arial" w:hAnsi="Arial" w:cs="Arial"/>
          <w:color w:val="1F1A17"/>
        </w:rPr>
        <w:t>Hindistan Telekom Otoritesi, sürekli olarak faydalı hale getirilen asıl enerji kaynağı dizel enerjinin Telekom kulelerinde kullanımını yetki altına almıştır</w:t>
      </w:r>
      <w:r w:rsidRPr="00E43688">
        <w:rPr>
          <w:rFonts w:ascii="Arial" w:hAnsi="Arial" w:cs="Arial"/>
          <w:color w:val="1F1A17"/>
        </w:rPr>
        <w:t xml:space="preserve">. </w:t>
      </w:r>
    </w:p>
    <w:p w:rsidR="00036A52" w:rsidRPr="00E43688" w:rsidP="00036A52">
      <w:pPr>
        <w:widowControl w:val="0"/>
        <w:autoSpaceDE w:val="0"/>
        <w:autoSpaceDN w:val="0"/>
        <w:adjustRightInd w:val="0"/>
        <w:spacing w:after="0" w:line="218"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Pr>
          <w:rFonts w:ascii="Arial" w:hAnsi="Arial" w:cs="Arial"/>
          <w:color w:val="1F1A17"/>
        </w:rPr>
        <w:t xml:space="preserve">Bu politik girişimler, uygulama çeşitliliği için olan enerji depolama teknolojilerini birleştirmek için büyük fırsatlarla </w:t>
      </w:r>
      <w:r w:rsidR="00384C4A">
        <w:rPr>
          <w:rFonts w:ascii="Arial" w:hAnsi="Arial" w:cs="Arial"/>
          <w:color w:val="1F1A17"/>
        </w:rPr>
        <w:t>sonuçlanmıştır</w:t>
      </w:r>
      <w:r w:rsidR="00445C63">
        <w:rPr>
          <w:rFonts w:ascii="Arial" w:hAnsi="Arial" w:cs="Arial"/>
          <w:color w:val="1F1A17"/>
        </w:rPr>
        <w:t>. Hindistan’da</w:t>
      </w:r>
      <w:r>
        <w:rPr>
          <w:rFonts w:ascii="Arial" w:hAnsi="Arial" w:cs="Arial"/>
          <w:color w:val="1F1A17"/>
        </w:rPr>
        <w:t xml:space="preserve"> gelişmiş enerji depolama pazarı, başlangıç </w:t>
      </w:r>
      <w:r w:rsidR="00445C63">
        <w:rPr>
          <w:rFonts w:ascii="Arial" w:hAnsi="Arial" w:cs="Arial"/>
          <w:color w:val="1F1A17"/>
        </w:rPr>
        <w:t>aşamasındadır. Bununla</w:t>
      </w:r>
      <w:r>
        <w:rPr>
          <w:rFonts w:ascii="Arial" w:hAnsi="Arial" w:cs="Arial"/>
          <w:color w:val="1F1A17"/>
        </w:rPr>
        <w:t xml:space="preserve"> beraber belirgin bir pazar potansiyeli </w:t>
      </w:r>
      <w:r w:rsidR="00384C4A">
        <w:rPr>
          <w:rFonts w:ascii="Arial" w:hAnsi="Arial" w:cs="Arial"/>
          <w:color w:val="1F1A17"/>
        </w:rPr>
        <w:t>taşımaktadır</w:t>
      </w:r>
      <w:r w:rsidR="00445C63">
        <w:rPr>
          <w:rFonts w:ascii="Arial" w:hAnsi="Arial" w:cs="Arial"/>
          <w:color w:val="1F1A17"/>
        </w:rPr>
        <w:t>. Hindistan</w:t>
      </w:r>
      <w:r>
        <w:rPr>
          <w:rFonts w:ascii="Arial" w:hAnsi="Arial" w:cs="Arial"/>
          <w:color w:val="1F1A17"/>
        </w:rPr>
        <w:t xml:space="preserve"> Enerji Depolama ittifakı tarafından en son yapılan pazar değerlendirmesinde, 2020’ye kadar 15-20 GW’lik potansiyel önerilmiştir.</w:t>
      </w:r>
    </w:p>
    <w:p w:rsidR="00036A52" w:rsidRPr="00E43688" w:rsidP="00036A52">
      <w:pPr>
        <w:widowControl w:val="0"/>
        <w:autoSpaceDE w:val="0"/>
        <w:autoSpaceDN w:val="0"/>
        <w:adjustRightInd w:val="0"/>
        <w:spacing w:after="0" w:line="220" w:lineRule="exact"/>
        <w:rPr>
          <w:rFonts w:ascii="Times New Roman" w:hAnsi="Times New Roman"/>
          <w:sz w:val="24"/>
          <w:szCs w:val="24"/>
        </w:rPr>
      </w:pPr>
    </w:p>
    <w:p w:rsidR="00036A52" w:rsidRPr="00E43688" w:rsidP="00036A52">
      <w:pPr>
        <w:widowControl w:val="0"/>
        <w:overflowPunct w:val="0"/>
        <w:autoSpaceDE w:val="0"/>
        <w:autoSpaceDN w:val="0"/>
        <w:adjustRightInd w:val="0"/>
        <w:spacing w:after="0" w:line="277" w:lineRule="auto"/>
        <w:jc w:val="both"/>
        <w:rPr>
          <w:rFonts w:ascii="Times New Roman" w:hAnsi="Times New Roman"/>
          <w:sz w:val="24"/>
          <w:szCs w:val="24"/>
        </w:rPr>
      </w:pPr>
      <w:r w:rsidRPr="00DE4C62">
        <w:rPr>
          <w:rFonts w:ascii="Arial" w:hAnsi="Arial" w:cs="Arial"/>
          <w:color w:val="1F1A17"/>
        </w:rPr>
        <w:t xml:space="preserve">Hindistan da </w:t>
      </w:r>
      <w:r>
        <w:rPr>
          <w:rFonts w:ascii="Arial" w:hAnsi="Arial" w:cs="Arial"/>
          <w:color w:val="1F1A17"/>
        </w:rPr>
        <w:t>son zamanlarda</w:t>
      </w:r>
      <w:r w:rsidRPr="00DE4C62">
        <w:rPr>
          <w:rFonts w:ascii="Arial" w:hAnsi="Arial" w:cs="Arial"/>
          <w:color w:val="1F1A17"/>
        </w:rPr>
        <w:t xml:space="preserve"> 2020 yılına kadar 6 milyon elektrikli araç</w:t>
      </w:r>
      <w:r>
        <w:rPr>
          <w:rFonts w:ascii="Arial" w:hAnsi="Arial" w:cs="Arial"/>
          <w:color w:val="1F1A17"/>
        </w:rPr>
        <w:t xml:space="preserve"> hedefiyle (4 milyon tane </w:t>
      </w:r>
      <w:r w:rsidRPr="00DE4C62">
        <w:rPr>
          <w:rFonts w:ascii="Arial" w:hAnsi="Arial" w:cs="Arial"/>
          <w:color w:val="1F1A17"/>
        </w:rPr>
        <w:t>iki tekerlekli ve 2 milyon</w:t>
      </w:r>
      <w:r>
        <w:rPr>
          <w:rFonts w:ascii="Arial" w:hAnsi="Arial" w:cs="Arial"/>
          <w:color w:val="1F1A17"/>
        </w:rPr>
        <w:t xml:space="preserve"> tane</w:t>
      </w:r>
      <w:r w:rsidRPr="00DE4C62">
        <w:rPr>
          <w:rFonts w:ascii="Arial" w:hAnsi="Arial" w:cs="Arial"/>
          <w:color w:val="1F1A17"/>
        </w:rPr>
        <w:t xml:space="preserve"> dört tekerlekli) Elektrikli Hareketlilik </w:t>
      </w:r>
      <w:r>
        <w:rPr>
          <w:rFonts w:ascii="Arial" w:hAnsi="Arial" w:cs="Arial"/>
          <w:color w:val="1F1A17"/>
        </w:rPr>
        <w:t xml:space="preserve">üzerine Ulusal </w:t>
      </w:r>
      <w:r w:rsidRPr="00DE4C62">
        <w:rPr>
          <w:rFonts w:ascii="Arial" w:hAnsi="Arial" w:cs="Arial"/>
          <w:color w:val="1F1A17"/>
        </w:rPr>
        <w:t xml:space="preserve">Misyon </w:t>
      </w:r>
      <w:r w:rsidR="00384C4A">
        <w:rPr>
          <w:rFonts w:ascii="Arial" w:hAnsi="Arial" w:cs="Arial"/>
          <w:color w:val="1F1A17"/>
        </w:rPr>
        <w:t>başlatmıştır</w:t>
      </w:r>
      <w:r w:rsidR="00445C63">
        <w:rPr>
          <w:rFonts w:ascii="Arial" w:hAnsi="Arial" w:cs="Arial"/>
          <w:color w:val="1F1A17"/>
        </w:rPr>
        <w:t>. ES</w:t>
      </w:r>
      <w:r>
        <w:rPr>
          <w:rFonts w:ascii="Arial" w:hAnsi="Arial" w:cs="Arial"/>
          <w:color w:val="1F1A17"/>
        </w:rPr>
        <w:t xml:space="preserve"> (elektrikli sandalye) programının etkili bir sunumu için, e</w:t>
      </w:r>
      <w:r w:rsidRPr="00DE4C62">
        <w:rPr>
          <w:rFonts w:ascii="Arial" w:hAnsi="Arial" w:cs="Arial"/>
          <w:color w:val="1F1A17"/>
        </w:rPr>
        <w:t xml:space="preserve">lektrik dağıtım altyapısı yükseltmeleri ve </w:t>
      </w:r>
      <w:r>
        <w:rPr>
          <w:rFonts w:ascii="Arial" w:hAnsi="Arial" w:cs="Arial"/>
          <w:color w:val="1F1A17"/>
        </w:rPr>
        <w:t>yüzlerce ES’nin aynı besleyici üzerinden aynı anda şarj olmasını kontrol edecek ve sınırlayacak akıllı sistemler gerekmektedir.</w:t>
      </w:r>
    </w:p>
    <w:p w:rsidR="00036A52" w:rsidRPr="00E43688" w:rsidP="00036A52">
      <w:pPr>
        <w:widowControl w:val="0"/>
        <w:autoSpaceDE w:val="0"/>
        <w:autoSpaceDN w:val="0"/>
        <w:adjustRightInd w:val="0"/>
        <w:spacing w:after="0" w:line="224" w:lineRule="exact"/>
        <w:rPr>
          <w:rFonts w:ascii="Times New Roman" w:hAnsi="Times New Roman"/>
          <w:sz w:val="24"/>
          <w:szCs w:val="24"/>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Petrol ve Gaz</w:t>
      </w:r>
    </w:p>
    <w:p w:rsidR="00036A52" w:rsidRPr="00E43688" w:rsidP="00036A52">
      <w:pPr>
        <w:widowControl w:val="0"/>
        <w:autoSpaceDE w:val="0"/>
        <w:autoSpaceDN w:val="0"/>
        <w:adjustRightInd w:val="0"/>
        <w:spacing w:after="0" w:line="263" w:lineRule="exact"/>
        <w:rPr>
          <w:rFonts w:ascii="Times New Roman" w:hAnsi="Times New Roman"/>
          <w:sz w:val="24"/>
          <w:szCs w:val="24"/>
        </w:rPr>
      </w:pPr>
    </w:p>
    <w:p w:rsidR="00036A52" w:rsidRPr="00D70E65" w:rsidP="00036A52">
      <w:pPr>
        <w:widowControl w:val="0"/>
        <w:overflowPunct w:val="0"/>
        <w:autoSpaceDE w:val="0"/>
        <w:autoSpaceDN w:val="0"/>
        <w:adjustRightInd w:val="0"/>
        <w:spacing w:after="0" w:line="276" w:lineRule="auto"/>
        <w:jc w:val="both"/>
        <w:rPr>
          <w:rFonts w:ascii="Times New Roman" w:hAnsi="Times New Roman"/>
        </w:rPr>
      </w:pPr>
      <w:r w:rsidRPr="00D70E65">
        <w:rPr>
          <w:rFonts w:ascii="Arial" w:hAnsi="Arial" w:cs="Arial"/>
          <w:color w:val="1F1A17"/>
        </w:rPr>
        <w:t xml:space="preserve">Petrol ve gaz endüstrisi Hindistan'da altı ana endüstri arasındadır.Hindistan Amerika Birleşik Devletleri, Çin ve Japonya'dan sonra, 2013 yılında dünyada ham petrol ve petrol ürünleri 4. büyük tüketici olmuştur.Hindistan, 2014 yılının başında çoğunlukla ülkenin batı kesiminde, yaklaşık 800 MMT </w:t>
      </w:r>
      <w:r w:rsidR="00384C4A">
        <w:rPr>
          <w:rFonts w:ascii="Arial" w:hAnsi="Arial" w:cs="Arial"/>
          <w:color w:val="1F1A17"/>
        </w:rPr>
        <w:t xml:space="preserve">(Multi ModeTransmition - Çoklu Modlu Aktarım) </w:t>
      </w:r>
      <w:r w:rsidRPr="00D70E65">
        <w:rPr>
          <w:rFonts w:ascii="Arial" w:hAnsi="Arial" w:cs="Arial"/>
          <w:color w:val="1F1A17"/>
        </w:rPr>
        <w:t xml:space="preserve">sertifikalı yağ rezervini elinde tutmaktadır. Rezervlerin %56’sı açık deniz rezervleri iken % 44’ü kara rezervidir. Hindistan, enerji ihtiyacını karşılamak için şiddetle ithalata bağımlıdır.Bu nedenle, petrol ithalatı Hindistan'ın toplam yurtiçi petrol tüketiminin % 80'ini oluşturur (Mayıs 2014). Petrol ve gaz birincil enerji tüketimine % </w:t>
      </w:r>
      <w:r w:rsidRPr="00D70E65" w:rsidR="00445C63">
        <w:rPr>
          <w:rFonts w:ascii="Arial" w:hAnsi="Arial" w:cs="Arial"/>
          <w:color w:val="1F1A17"/>
        </w:rPr>
        <w:t>39,2</w:t>
      </w:r>
      <w:r w:rsidRPr="00D70E65">
        <w:rPr>
          <w:rFonts w:ascii="Arial" w:hAnsi="Arial" w:cs="Arial"/>
          <w:color w:val="1F1A17"/>
        </w:rPr>
        <w:t xml:space="preserve"> katkıda bulunur.</w:t>
      </w:r>
    </w:p>
    <w:p w:rsidR="00036A52" w:rsidRPr="00D70E65" w:rsidP="00036A52">
      <w:pPr>
        <w:widowControl w:val="0"/>
        <w:overflowPunct w:val="0"/>
        <w:autoSpaceDE w:val="0"/>
        <w:autoSpaceDN w:val="0"/>
        <w:adjustRightInd w:val="0"/>
        <w:spacing w:after="0" w:line="277" w:lineRule="auto"/>
        <w:jc w:val="both"/>
        <w:rPr>
          <w:rFonts w:ascii="Arial" w:hAnsi="Arial" w:cs="Arial"/>
          <w:color w:val="1F1A17"/>
        </w:rPr>
      </w:pPr>
    </w:p>
    <w:p w:rsidR="00036A52" w:rsidRPr="00D70E65" w:rsidP="00036A52">
      <w:pPr>
        <w:widowControl w:val="0"/>
        <w:overflowPunct w:val="0"/>
        <w:autoSpaceDE w:val="0"/>
        <w:autoSpaceDN w:val="0"/>
        <w:adjustRightInd w:val="0"/>
        <w:spacing w:after="0" w:line="277" w:lineRule="auto"/>
        <w:jc w:val="both"/>
        <w:rPr>
          <w:rFonts w:ascii="Times New Roman" w:hAnsi="Times New Roman"/>
        </w:rPr>
      </w:pPr>
      <w:r w:rsidRPr="00D70E65">
        <w:rPr>
          <w:rFonts w:ascii="Arial" w:hAnsi="Arial" w:cs="Arial"/>
          <w:color w:val="1F1A17"/>
        </w:rPr>
        <w:t>2013-14 döneminde, doğal gaz enerji karışımının yaklaşık % 7.8’ini</w:t>
      </w:r>
      <w:r w:rsidRPr="00D70E65" w:rsidR="00445C63">
        <w:rPr>
          <w:rFonts w:ascii="Arial" w:hAnsi="Arial" w:cs="Arial"/>
          <w:color w:val="1F1A17"/>
        </w:rPr>
        <w:t>oluşturmaktadır. Hindistan’da</w:t>
      </w:r>
      <w:r w:rsidRPr="00D70E65">
        <w:rPr>
          <w:rFonts w:ascii="Arial" w:hAnsi="Arial" w:cs="Arial"/>
          <w:color w:val="1F1A17"/>
        </w:rPr>
        <w:t xml:space="preserve"> 2014 yılının başında 47 TCF kadar sertifikalı doğal gaz rezervi vardır.Rezervlerin% 66’sı açık deniz rezervi iken toplam rezervlerin yaklaşık % 34’ü  kıyıda yer almaktadır. Ülkenin doğal gaz boru hattı şebekesi 2013 yılında 15.340 km'den fazlasına ulaşmış olup 2018-19 dönemi itibariyle ağını 30.000 km'ye genişletmek için önerilmiştir.</w:t>
      </w:r>
    </w:p>
    <w:p w:rsidR="00036A52" w:rsidRPr="00D70E65" w:rsidP="00036A52">
      <w:pPr>
        <w:widowControl w:val="0"/>
        <w:overflowPunct w:val="0"/>
        <w:autoSpaceDE w:val="0"/>
        <w:autoSpaceDN w:val="0"/>
        <w:adjustRightInd w:val="0"/>
        <w:spacing w:after="0" w:line="278" w:lineRule="auto"/>
        <w:jc w:val="both"/>
        <w:rPr>
          <w:rFonts w:ascii="Arial" w:hAnsi="Arial" w:cs="Arial"/>
          <w:color w:val="1F1A17"/>
        </w:rPr>
      </w:pPr>
    </w:p>
    <w:p w:rsidR="00036A52" w:rsidRPr="00D70E65" w:rsidP="00036A52">
      <w:pPr>
        <w:widowControl w:val="0"/>
        <w:overflowPunct w:val="0"/>
        <w:autoSpaceDE w:val="0"/>
        <w:autoSpaceDN w:val="0"/>
        <w:adjustRightInd w:val="0"/>
        <w:spacing w:after="0" w:line="278" w:lineRule="auto"/>
        <w:jc w:val="both"/>
        <w:rPr>
          <w:rFonts w:ascii="Times New Roman" w:hAnsi="Times New Roman"/>
        </w:rPr>
      </w:pPr>
      <w:r w:rsidRPr="00D70E65">
        <w:rPr>
          <w:rFonts w:ascii="Arial" w:hAnsi="Arial" w:cs="Arial"/>
          <w:color w:val="1F1A17"/>
        </w:rPr>
        <w:t>70 milyar dolar değerinde yatırımlar 12. Plan (2012-17) kapsamında petrol ve gaz değer zinciri boyunca öngörülmektedir. Aynı zamanda, Hindistan 2013 yılında 4. büyük LNG</w:t>
      </w:r>
      <w:r w:rsidR="00384C4A">
        <w:rPr>
          <w:rFonts w:ascii="Arial" w:hAnsi="Arial" w:cs="Arial"/>
          <w:color w:val="1F1A17"/>
        </w:rPr>
        <w:t xml:space="preserve"> (sıvı doğal gaz) </w:t>
      </w:r>
      <w:r w:rsidRPr="00D70E65">
        <w:rPr>
          <w:rFonts w:ascii="Arial" w:hAnsi="Arial" w:cs="Arial"/>
          <w:color w:val="1F1A17"/>
        </w:rPr>
        <w:t xml:space="preserve"> ithalatçısı oldu ve küresel ithalatın %5.5’inden</w:t>
      </w:r>
      <w:r w:rsidRPr="00D70E65" w:rsidR="00445C63">
        <w:rPr>
          <w:rFonts w:ascii="Arial" w:hAnsi="Arial" w:cs="Arial"/>
          <w:color w:val="1F1A17"/>
        </w:rPr>
        <w:t>sorumluydu. Hindistan’ın</w:t>
      </w:r>
      <w:r w:rsidRPr="00D70E65">
        <w:rPr>
          <w:rFonts w:ascii="Arial" w:hAnsi="Arial" w:cs="Arial"/>
          <w:color w:val="1F1A17"/>
        </w:rPr>
        <w:t xml:space="preserve"> ham petrol boru hattı şebekesi 9460 km üzerinde yayılmakta ve</w:t>
      </w:r>
      <w:r w:rsidR="00445C63">
        <w:rPr>
          <w:rFonts w:ascii="Arial" w:hAnsi="Arial" w:cs="Arial"/>
          <w:color w:val="1F1A17"/>
        </w:rPr>
        <w:t xml:space="preserve"> toplam 129,4 MMTPA kapasite</w:t>
      </w:r>
      <w:r w:rsidRPr="00D70E65">
        <w:rPr>
          <w:rFonts w:ascii="Arial" w:hAnsi="Arial" w:cs="Arial"/>
          <w:color w:val="1F1A17"/>
        </w:rPr>
        <w:t>ye sahiptir.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P="00036A52">
      <w:pPr>
        <w:widowControl w:val="0"/>
        <w:autoSpaceDE w:val="0"/>
        <w:autoSpaceDN w:val="0"/>
        <w:adjustRightInd w:val="0"/>
        <w:spacing w:after="0" w:line="240" w:lineRule="auto"/>
        <w:rPr>
          <w:rFonts w:ascii="Arial" w:hAnsi="Arial" w:cs="Arial"/>
          <w:color w:val="1F1A17"/>
          <w:sz w:val="17"/>
          <w:szCs w:val="17"/>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036A52" w:rsidRPr="00E43688"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6848" behindDoc="1" locked="0" layoutInCell="0" allowOverlap="1">
            <wp:simplePos x="0" y="0"/>
            <wp:positionH relativeFrom="page">
              <wp:posOffset>0</wp:posOffset>
            </wp:positionH>
            <wp:positionV relativeFrom="page">
              <wp:posOffset>377190</wp:posOffset>
            </wp:positionV>
            <wp:extent cx="7880350" cy="9897110"/>
            <wp:effectExtent l="0" t="0" r="0" b="0"/>
            <wp:wrapNone/>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32109" name="Picture 217"/>
                    <pic:cNvPicPr>
                      <a:picLocks noChangeAspect="1" noChangeArrowheads="1"/>
                    </pic:cNvPicPr>
                  </pic:nvPicPr>
                  <pic:blipFill>
                    <a:blip xmlns:r="http://schemas.openxmlformats.org/officeDocument/2006/relationships" r:embed="rId4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29" w:lineRule="exact"/>
        <w:rPr>
          <w:rFonts w:ascii="Times New Roman" w:hAnsi="Times New Roman"/>
          <w:sz w:val="24"/>
          <w:szCs w:val="24"/>
        </w:rPr>
      </w:pPr>
    </w:p>
    <w:p w:rsidR="00036A52" w:rsidRPr="00E43688" w:rsidP="00384C4A">
      <w:pPr>
        <w:widowControl w:val="0"/>
        <w:overflowPunct w:val="0"/>
        <w:autoSpaceDE w:val="0"/>
        <w:autoSpaceDN w:val="0"/>
        <w:adjustRightInd w:val="0"/>
        <w:spacing w:after="0" w:line="279" w:lineRule="auto"/>
        <w:jc w:val="both"/>
        <w:rPr>
          <w:rFonts w:ascii="Times New Roman" w:hAnsi="Times New Roman"/>
          <w:sz w:val="24"/>
          <w:szCs w:val="24"/>
        </w:rPr>
      </w:pPr>
      <w:r w:rsidRPr="00E43688">
        <w:rPr>
          <w:rFonts w:ascii="Arial" w:hAnsi="Arial" w:cs="Arial"/>
          <w:color w:val="1F1A17"/>
        </w:rPr>
        <w:t xml:space="preserve">International Energy Outlook </w:t>
      </w:r>
      <w:r>
        <w:rPr>
          <w:rFonts w:ascii="Arial" w:hAnsi="Arial" w:cs="Arial"/>
          <w:color w:val="1F1A17"/>
        </w:rPr>
        <w:t>Hindistan’ın yılda %3 olan enerji talebinin artmasıyla birlikte, Hindistan ve Çin 2040’a kadar bu talebin yarısı kadar artması iç</w:t>
      </w:r>
      <w:r w:rsidR="00445C63">
        <w:rPr>
          <w:rFonts w:ascii="Arial" w:hAnsi="Arial" w:cs="Arial"/>
          <w:color w:val="1F1A17"/>
        </w:rPr>
        <w:t xml:space="preserve">in EIA </w:t>
      </w:r>
      <w:r w:rsidR="00384C4A">
        <w:rPr>
          <w:rFonts w:ascii="Arial" w:hAnsi="Arial" w:cs="Arial"/>
          <w:color w:val="1F1A17"/>
        </w:rPr>
        <w:t xml:space="preserve">(ÇED- Çevre Etki Değerlendirmesi) </w:t>
      </w:r>
      <w:r w:rsidR="00445C63">
        <w:rPr>
          <w:rFonts w:ascii="Arial" w:hAnsi="Arial" w:cs="Arial"/>
          <w:color w:val="1F1A17"/>
        </w:rPr>
        <w:t>tarafından gözetilmektedir</w:t>
      </w:r>
      <w:r>
        <w:rPr>
          <w:rFonts w:ascii="Arial" w:hAnsi="Arial" w:cs="Arial"/>
          <w:color w:val="1F1A17"/>
        </w:rPr>
        <w:t>.</w:t>
      </w:r>
    </w:p>
    <w:p w:rsidR="00036A52" w:rsidRPr="00E43688" w:rsidP="00384C4A">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87817"/>
        </w:rPr>
        <w:t>Yatırım Fırsatları</w:t>
      </w: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79" w:lineRule="auto"/>
        <w:ind w:hanging="357"/>
        <w:jc w:val="both"/>
        <w:rPr>
          <w:rFonts w:ascii="Arial" w:hAnsi="Arial" w:cs="Arial"/>
          <w:color w:val="1F1A17"/>
        </w:rPr>
      </w:pPr>
      <w:r>
        <w:rPr>
          <w:rFonts w:ascii="Arial" w:hAnsi="Arial" w:cs="Arial"/>
          <w:color w:val="1F1A17"/>
        </w:rPr>
        <w:t>Kaya gazının net ihracatçısı olmaya başlayan ülkeyle birlikte, Amerika’da kaya doğal gazı, enerji e</w:t>
      </w:r>
      <w:r w:rsidR="00384C4A">
        <w:rPr>
          <w:rFonts w:ascii="Arial" w:hAnsi="Arial" w:cs="Arial"/>
          <w:color w:val="1F1A17"/>
        </w:rPr>
        <w:t>ndüstrisinin tabiatına dönüşmektedir</w:t>
      </w:r>
      <w:r>
        <w:rPr>
          <w:rFonts w:ascii="Arial" w:hAnsi="Arial" w:cs="Arial"/>
          <w:color w:val="1F1A17"/>
        </w:rPr>
        <w:t>.</w:t>
      </w:r>
    </w:p>
    <w:p w:rsidR="00036A52" w:rsidRPr="00E43688" w:rsidP="00036A52">
      <w:pPr>
        <w:widowControl w:val="0"/>
        <w:autoSpaceDE w:val="0"/>
        <w:autoSpaceDN w:val="0"/>
        <w:adjustRightInd w:val="0"/>
        <w:spacing w:after="0" w:line="217" w:lineRule="exact"/>
        <w:rPr>
          <w:rFonts w:ascii="Arial" w:hAnsi="Arial" w:cs="Arial"/>
          <w:color w:val="1F1A17"/>
        </w:rPr>
      </w:pP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79" w:lineRule="auto"/>
        <w:ind w:hanging="358"/>
        <w:jc w:val="both"/>
        <w:rPr>
          <w:rFonts w:ascii="Arial" w:hAnsi="Arial" w:cs="Arial"/>
          <w:color w:val="1F1A17"/>
        </w:rPr>
      </w:pPr>
      <w:r>
        <w:rPr>
          <w:rFonts w:ascii="Arial" w:hAnsi="Arial" w:cs="Arial"/>
          <w:color w:val="1F1A17"/>
        </w:rPr>
        <w:t xml:space="preserve">Yer altı kömür gazlaşması benzin ve yağ sektöründe, fırsatın başka bir ilginç yönünü </w:t>
      </w:r>
      <w:r w:rsidR="00445C63">
        <w:rPr>
          <w:rFonts w:ascii="Arial" w:hAnsi="Arial" w:cs="Arial"/>
          <w:color w:val="1F1A17"/>
        </w:rPr>
        <w:t>göstermektedir. Kömür</w:t>
      </w:r>
      <w:r>
        <w:rPr>
          <w:rFonts w:ascii="Arial" w:hAnsi="Arial" w:cs="Arial"/>
          <w:color w:val="1F1A17"/>
        </w:rPr>
        <w:t>gazlaşması, hükümetin esir kalmış madencilik politikasının altındaki son kullanı</w:t>
      </w:r>
      <w:r w:rsidR="00445C63">
        <w:rPr>
          <w:rFonts w:ascii="Arial" w:hAnsi="Arial" w:cs="Arial"/>
          <w:color w:val="1F1A17"/>
        </w:rPr>
        <w:t>mlardan biri olarak bildirmektedir</w:t>
      </w:r>
      <w:r>
        <w:rPr>
          <w:rFonts w:ascii="Arial" w:hAnsi="Arial" w:cs="Arial"/>
          <w:color w:val="1F1A17"/>
        </w:rPr>
        <w:t>.</w:t>
      </w:r>
    </w:p>
    <w:p w:rsidR="00036A52" w:rsidRPr="00E43688" w:rsidP="00036A52">
      <w:pPr>
        <w:widowControl w:val="0"/>
        <w:autoSpaceDE w:val="0"/>
        <w:autoSpaceDN w:val="0"/>
        <w:adjustRightInd w:val="0"/>
        <w:spacing w:after="0" w:line="217" w:lineRule="exact"/>
        <w:rPr>
          <w:rFonts w:ascii="Arial" w:hAnsi="Arial" w:cs="Arial"/>
          <w:color w:val="1F1A17"/>
        </w:rPr>
      </w:pP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84" w:lineRule="auto"/>
        <w:ind w:hanging="358"/>
        <w:jc w:val="both"/>
        <w:rPr>
          <w:rFonts w:ascii="Arial" w:hAnsi="Arial" w:cs="Arial"/>
          <w:color w:val="1F1A17"/>
        </w:rPr>
      </w:pPr>
      <w:r>
        <w:rPr>
          <w:rFonts w:ascii="Arial" w:hAnsi="Arial" w:cs="Arial"/>
          <w:color w:val="1F1A17"/>
        </w:rPr>
        <w:t xml:space="preserve">E&amp;P hizmetleri ve teçhizat şirketleri için </w:t>
      </w:r>
      <w:r w:rsidR="00445C63">
        <w:rPr>
          <w:rFonts w:ascii="Arial" w:hAnsi="Arial" w:cs="Arial"/>
          <w:color w:val="1F1A17"/>
        </w:rPr>
        <w:t>fırsatlar: Ülkenin</w:t>
      </w:r>
      <w:r>
        <w:rPr>
          <w:rFonts w:ascii="Arial" w:hAnsi="Arial" w:cs="Arial"/>
          <w:color w:val="1F1A17"/>
        </w:rPr>
        <w:t xml:space="preserve"> tortul bölgesi</w:t>
      </w:r>
      <w:r w:rsidR="00384C4A">
        <w:rPr>
          <w:rFonts w:ascii="Arial" w:hAnsi="Arial" w:cs="Arial"/>
          <w:color w:val="1F1A17"/>
        </w:rPr>
        <w:t>nin %48’ine hala değer biçilmektedir</w:t>
      </w:r>
      <w:r>
        <w:rPr>
          <w:rFonts w:ascii="Arial" w:hAnsi="Arial" w:cs="Arial"/>
          <w:color w:val="1F1A17"/>
        </w:rPr>
        <w:t>.</w:t>
      </w:r>
    </w:p>
    <w:p w:rsidR="00036A52" w:rsidRPr="00E43688" w:rsidP="00036A52">
      <w:pPr>
        <w:widowControl w:val="0"/>
        <w:autoSpaceDE w:val="0"/>
        <w:autoSpaceDN w:val="0"/>
        <w:adjustRightInd w:val="0"/>
        <w:spacing w:after="0" w:line="211" w:lineRule="exact"/>
        <w:rPr>
          <w:rFonts w:ascii="Arial" w:hAnsi="Arial" w:cs="Arial"/>
          <w:color w:val="1F1A17"/>
        </w:rPr>
      </w:pP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84" w:lineRule="auto"/>
        <w:ind w:hanging="358"/>
        <w:jc w:val="both"/>
        <w:rPr>
          <w:rFonts w:ascii="Arial" w:hAnsi="Arial" w:cs="Arial"/>
          <w:color w:val="1F1A17"/>
        </w:rPr>
      </w:pPr>
      <w:r>
        <w:rPr>
          <w:rFonts w:ascii="Arial" w:hAnsi="Arial" w:cs="Arial"/>
          <w:color w:val="1F1A17"/>
        </w:rPr>
        <w:t xml:space="preserve">Şehir benzin ve dağıtım sektörü, yeni </w:t>
      </w:r>
      <w:r w:rsidR="00445C63">
        <w:rPr>
          <w:rFonts w:ascii="Arial" w:hAnsi="Arial" w:cs="Arial"/>
          <w:color w:val="1F1A17"/>
        </w:rPr>
        <w:t>şirketlere</w:t>
      </w:r>
      <w:r w:rsidR="00384C4A">
        <w:rPr>
          <w:rFonts w:ascii="Arial" w:hAnsi="Arial" w:cs="Arial"/>
          <w:color w:val="1F1A17"/>
        </w:rPr>
        <w:t>ve yükümlülere fırsatlar sunmaktadır</w:t>
      </w:r>
      <w:r>
        <w:rPr>
          <w:rFonts w:ascii="Arial" w:hAnsi="Arial" w:cs="Arial"/>
          <w:color w:val="1F1A17"/>
        </w:rPr>
        <w:t>.</w:t>
      </w:r>
    </w:p>
    <w:p w:rsidR="00036A52" w:rsidRPr="00E43688" w:rsidP="00036A52">
      <w:pPr>
        <w:widowControl w:val="0"/>
        <w:autoSpaceDE w:val="0"/>
        <w:autoSpaceDN w:val="0"/>
        <w:adjustRightInd w:val="0"/>
        <w:spacing w:after="0" w:line="211" w:lineRule="exact"/>
        <w:rPr>
          <w:rFonts w:ascii="Arial" w:hAnsi="Arial" w:cs="Arial"/>
          <w:color w:val="1F1A17"/>
        </w:rPr>
      </w:pP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78" w:lineRule="auto"/>
        <w:ind w:hanging="358"/>
        <w:jc w:val="both"/>
        <w:rPr>
          <w:rFonts w:ascii="Arial" w:hAnsi="Arial" w:cs="Arial"/>
          <w:color w:val="1F1A17"/>
        </w:rPr>
      </w:pPr>
      <w:r>
        <w:rPr>
          <w:rFonts w:ascii="Arial" w:hAnsi="Arial" w:cs="Arial"/>
          <w:color w:val="1F1A17"/>
        </w:rPr>
        <w:t>Boru hattıyla taşıma alanındaki fırsatlar, boru hattıyla petrol hareketliliğinin %60’dan fazla olduğu Amerika gibi gelişmiş ekonomisi olan ülkelerle karşılaştırıldığında, Hindistan’da borular üzerinden ürün hareketinin sadece %35’i gerçekleşmektedir.</w:t>
      </w:r>
    </w:p>
    <w:p w:rsidR="00036A52" w:rsidRPr="00E43688" w:rsidP="00036A52">
      <w:pPr>
        <w:widowControl w:val="0"/>
        <w:autoSpaceDE w:val="0"/>
        <w:autoSpaceDN w:val="0"/>
        <w:adjustRightInd w:val="0"/>
        <w:spacing w:after="0" w:line="217" w:lineRule="exact"/>
        <w:rPr>
          <w:rFonts w:ascii="Arial" w:hAnsi="Arial" w:cs="Arial"/>
          <w:color w:val="1F1A17"/>
        </w:rPr>
      </w:pPr>
    </w:p>
    <w:p w:rsidR="00036A52" w:rsidRPr="00E43688" w:rsidP="00036A52">
      <w:pPr>
        <w:widowControl w:val="0"/>
        <w:numPr>
          <w:ilvl w:val="0"/>
          <w:numId w:val="27"/>
        </w:numPr>
        <w:tabs>
          <w:tab w:val="clear" w:pos="720"/>
          <w:tab w:val="num" w:pos="721"/>
        </w:tabs>
        <w:overflowPunct w:val="0"/>
        <w:autoSpaceDE w:val="0"/>
        <w:autoSpaceDN w:val="0"/>
        <w:adjustRightInd w:val="0"/>
        <w:spacing w:after="0" w:line="279" w:lineRule="auto"/>
        <w:ind w:hanging="358"/>
        <w:jc w:val="both"/>
        <w:rPr>
          <w:rFonts w:ascii="Arial" w:hAnsi="Arial" w:cs="Arial"/>
          <w:color w:val="1F1A17"/>
        </w:rPr>
      </w:pPr>
      <w:r>
        <w:rPr>
          <w:rFonts w:ascii="Arial" w:hAnsi="Arial" w:cs="Arial"/>
          <w:color w:val="1F1A17"/>
        </w:rPr>
        <w:t xml:space="preserve">Arıtma sektöründeki genişlemeler, ihracata yönelik altyapısı olan, boru hattı ürünleri ve ihracat terminallerini de kapsayan yabancı yatırımcıyı </w:t>
      </w:r>
      <w:r w:rsidR="00445C63">
        <w:rPr>
          <w:rFonts w:ascii="Arial" w:hAnsi="Arial" w:cs="Arial"/>
          <w:color w:val="1F1A17"/>
        </w:rPr>
        <w:t>harekete geçirmek için planlanmaktadır</w:t>
      </w:r>
      <w:r>
        <w:rPr>
          <w:rFonts w:ascii="Arial" w:hAnsi="Arial" w:cs="Arial"/>
          <w:color w:val="1F1A17"/>
        </w:rPr>
        <w:t>.</w:t>
      </w:r>
    </w:p>
    <w:p w:rsidR="00036A52" w:rsidRPr="00E43688" w:rsidP="00036A52">
      <w:pPr>
        <w:widowControl w:val="0"/>
        <w:autoSpaceDE w:val="0"/>
        <w:autoSpaceDN w:val="0"/>
        <w:adjustRightInd w:val="0"/>
        <w:spacing w:after="0" w:line="217" w:lineRule="exact"/>
        <w:rPr>
          <w:rFonts w:ascii="Arial" w:hAnsi="Arial" w:cs="Arial"/>
          <w:color w:val="1F1A17"/>
        </w:rPr>
      </w:pPr>
    </w:p>
    <w:p w:rsidR="00036A52" w:rsidRPr="00384C4A" w:rsidP="00465A0B">
      <w:pPr>
        <w:widowControl w:val="0"/>
        <w:numPr>
          <w:ilvl w:val="0"/>
          <w:numId w:val="27"/>
        </w:numPr>
        <w:overflowPunct w:val="0"/>
        <w:autoSpaceDE w:val="0"/>
        <w:autoSpaceDN w:val="0"/>
        <w:adjustRightInd w:val="0"/>
        <w:spacing w:after="0" w:line="240" w:lineRule="auto"/>
        <w:ind w:left="120" w:hanging="358"/>
        <w:jc w:val="both"/>
        <w:rPr>
          <w:rFonts w:ascii="Arial" w:hAnsi="Arial" w:cs="Arial"/>
          <w:b/>
          <w:bCs/>
          <w:color w:val="FFFFFF"/>
          <w:sz w:val="20"/>
          <w:szCs w:val="20"/>
        </w:rPr>
      </w:pPr>
      <w:r w:rsidRPr="00384C4A">
        <w:rPr>
          <w:rFonts w:ascii="Arial" w:hAnsi="Arial" w:cs="Arial"/>
          <w:color w:val="1F1A17"/>
        </w:rPr>
        <w:t xml:space="preserve">Akıntıya karşı olan sektördeki teknoloji ortaklıkları ve yabancı yatırımlar için fırsatlar boldur, zira önceden sezilebilen gelecek için (malzemenin emniyetinin) Hindistan’ın enerji gündeminin en tepesinde kalması </w:t>
      </w:r>
      <w:r w:rsidRPr="00384C4A" w:rsidR="00384C4A">
        <w:rPr>
          <w:rFonts w:ascii="Arial" w:hAnsi="Arial" w:cs="Arial"/>
          <w:color w:val="1F1A17"/>
        </w:rPr>
        <w:t>umulmaktadır</w:t>
      </w:r>
      <w:r w:rsidRPr="00384C4A" w:rsidR="00445C63">
        <w:rPr>
          <w:rFonts w:ascii="Arial" w:hAnsi="Arial" w:cs="Arial"/>
          <w:color w:val="1F1A17"/>
        </w:rPr>
        <w:t>. Karada</w:t>
      </w:r>
      <w:r w:rsidRPr="00384C4A">
        <w:rPr>
          <w:rFonts w:ascii="Arial" w:hAnsi="Arial" w:cs="Arial"/>
          <w:color w:val="1F1A17"/>
        </w:rPr>
        <w:t xml:space="preserve"> pek çok araştırma faaliyeti yer alırken, ülkenin sığ havuzları, derin su ve ultra derin su, yağ ve gaz kaynakları, özünde artan yerel üretimin anahtarını </w:t>
      </w:r>
      <w:r w:rsidRPr="00384C4A" w:rsidR="00445C63">
        <w:rPr>
          <w:rFonts w:ascii="Arial" w:hAnsi="Arial" w:cs="Arial"/>
          <w:color w:val="1F1A17"/>
        </w:rPr>
        <w:t>tutmaktadır. Bu</w:t>
      </w:r>
      <w:r w:rsidRPr="00384C4A">
        <w:rPr>
          <w:rFonts w:ascii="Arial" w:hAnsi="Arial" w:cs="Arial"/>
          <w:color w:val="1F1A17"/>
        </w:rPr>
        <w:t xml:space="preserve"> durum, teknik deneyimi ve mali gücü olan yatırımcılar için fırsatlar sağla</w:t>
      </w:r>
      <w:r w:rsidRPr="00384C4A" w:rsidR="00384C4A">
        <w:rPr>
          <w:rFonts w:ascii="Arial" w:hAnsi="Arial" w:cs="Arial"/>
          <w:color w:val="1F1A17"/>
        </w:rPr>
        <w:t>maktadı</w:t>
      </w:r>
      <w:r w:rsidRPr="00384C4A">
        <w:rPr>
          <w:rFonts w:ascii="Arial" w:hAnsi="Arial" w:cs="Arial"/>
          <w:color w:val="1F1A17"/>
        </w:rPr>
        <w:t>r.</w:t>
      </w:r>
    </w:p>
    <w:p w:rsidR="00036A52" w:rsidP="00036A52">
      <w:pPr>
        <w:widowControl w:val="0"/>
        <w:autoSpaceDE w:val="0"/>
        <w:autoSpaceDN w:val="0"/>
        <w:adjustRightInd w:val="0"/>
        <w:spacing w:after="0" w:line="240" w:lineRule="auto"/>
        <w:ind w:left="120"/>
        <w:rPr>
          <w:rFonts w:ascii="Arial" w:hAnsi="Arial" w:cs="Arial"/>
          <w:b/>
          <w:bCs/>
          <w:color w:val="FFFFFF"/>
          <w:sz w:val="20"/>
          <w:szCs w:val="20"/>
        </w:rPr>
      </w:pPr>
    </w:p>
    <w:p w:rsidR="00036A52" w:rsidP="00036A52">
      <w:pPr>
        <w:widowControl w:val="0"/>
        <w:autoSpaceDE w:val="0"/>
        <w:autoSpaceDN w:val="0"/>
        <w:adjustRightInd w:val="0"/>
        <w:spacing w:after="0" w:line="240" w:lineRule="auto"/>
        <w:rPr>
          <w:rFonts w:ascii="Arial" w:hAnsi="Arial" w:cs="Arial"/>
          <w:b/>
          <w:bCs/>
          <w:color w:val="FFFFFF"/>
          <w:sz w:val="20"/>
          <w:szCs w:val="20"/>
        </w:rPr>
      </w:pPr>
    </w:p>
    <w:p w:rsidR="00036A52" w:rsidRPr="00E43688" w:rsidP="00036A52">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FFFFFF"/>
          <w:sz w:val="20"/>
          <w:szCs w:val="20"/>
        </w:rPr>
        <w:t>Hindistan’daki Yabancı Yatırımcılar</w:t>
      </w:r>
    </w:p>
    <w:p w:rsidR="00036A52" w:rsidRPr="00E43688" w:rsidP="00036A52">
      <w:pPr>
        <w:widowControl w:val="0"/>
        <w:autoSpaceDE w:val="0"/>
        <w:autoSpaceDN w:val="0"/>
        <w:adjustRightInd w:val="0"/>
        <w:spacing w:after="0" w:line="26" w:lineRule="exact"/>
        <w:rPr>
          <w:rFonts w:ascii="Times New Roman" w:hAnsi="Times New Roman"/>
          <w:sz w:val="24"/>
          <w:szCs w:val="24"/>
        </w:rPr>
      </w:pPr>
    </w:p>
    <w:tbl>
      <w:tblPr>
        <w:tblW w:w="0" w:type="auto"/>
        <w:tblLayout w:type="fixed"/>
        <w:tblCellMar>
          <w:left w:w="0" w:type="dxa"/>
          <w:right w:w="0" w:type="dxa"/>
        </w:tblCellMar>
        <w:tblLook w:val="0000"/>
      </w:tblPr>
      <w:tblGrid>
        <w:gridCol w:w="3340"/>
        <w:gridCol w:w="4580"/>
      </w:tblGrid>
      <w:tr w:rsidTr="00036A52">
        <w:tblPrEx>
          <w:tblW w:w="0" w:type="auto"/>
          <w:tblLayout w:type="fixed"/>
          <w:tblCellMar>
            <w:left w:w="0" w:type="dxa"/>
            <w:right w:w="0" w:type="dxa"/>
          </w:tblCellMar>
          <w:tblLook w:val="0000"/>
        </w:tblPrEx>
        <w:trPr>
          <w:trHeight w:val="336"/>
        </w:trPr>
        <w:tc>
          <w:tcPr>
            <w:tcW w:w="334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 xml:space="preserve">British Petroleum, </w:t>
            </w:r>
            <w:r>
              <w:rPr>
                <w:rFonts w:ascii="Arial" w:hAnsi="Arial" w:cs="Arial"/>
                <w:color w:val="1F1A17"/>
                <w:sz w:val="18"/>
                <w:szCs w:val="18"/>
              </w:rPr>
              <w:t>Birleşik Krallık</w:t>
            </w:r>
          </w:p>
        </w:tc>
        <w:tc>
          <w:tcPr>
            <w:tcW w:w="4580" w:type="dxa"/>
            <w:tcBorders>
              <w:top w:val="nil"/>
              <w:left w:val="nil"/>
              <w:bottom w:val="single" w:sz="8" w:space="0" w:color="F7C44A"/>
              <w:right w:val="nil"/>
            </w:tcBorders>
            <w:shd w:val="clear" w:color="auto" w:fill="F7C44A"/>
            <w:vAlign w:val="bottom"/>
          </w:tcPr>
          <w:p w:rsidR="00036A52" w:rsidRPr="00E43688" w:rsidP="00036A52">
            <w:pPr>
              <w:widowControl w:val="0"/>
              <w:autoSpaceDE w:val="0"/>
              <w:autoSpaceDN w:val="0"/>
              <w:adjustRightInd w:val="0"/>
              <w:spacing w:after="0" w:line="240" w:lineRule="auto"/>
              <w:ind w:left="1280"/>
              <w:rPr>
                <w:rFonts w:ascii="Times New Roman" w:hAnsi="Times New Roman"/>
                <w:sz w:val="24"/>
                <w:szCs w:val="24"/>
              </w:rPr>
            </w:pPr>
            <w:r w:rsidRPr="00E43688">
              <w:rPr>
                <w:rFonts w:ascii="Arial" w:hAnsi="Arial" w:cs="Arial"/>
                <w:color w:val="1F1A17"/>
                <w:sz w:val="18"/>
                <w:szCs w:val="18"/>
              </w:rPr>
              <w:t>CairnEnergy</w:t>
            </w:r>
            <w:r>
              <w:rPr>
                <w:rFonts w:ascii="Arial" w:hAnsi="Arial" w:cs="Arial"/>
                <w:color w:val="1F1A17"/>
                <w:sz w:val="18"/>
                <w:szCs w:val="18"/>
              </w:rPr>
              <w:t>,Hindistan</w:t>
            </w:r>
          </w:p>
        </w:tc>
      </w:tr>
      <w:tr w:rsidTr="00036A52">
        <w:tblPrEx>
          <w:tblW w:w="0" w:type="auto"/>
          <w:tblLayout w:type="fixed"/>
          <w:tblCellMar>
            <w:left w:w="0" w:type="dxa"/>
            <w:right w:w="0" w:type="dxa"/>
          </w:tblCellMar>
          <w:tblLook w:val="0000"/>
        </w:tblPrEx>
        <w:trPr>
          <w:trHeight w:val="318"/>
        </w:trPr>
        <w:tc>
          <w:tcPr>
            <w:tcW w:w="3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 xml:space="preserve">Shell, </w:t>
            </w:r>
            <w:r>
              <w:rPr>
                <w:rFonts w:ascii="Arial" w:hAnsi="Arial" w:cs="Arial"/>
                <w:color w:val="1F1A17"/>
                <w:sz w:val="18"/>
                <w:szCs w:val="18"/>
              </w:rPr>
              <w:t>Birleşik Krallık</w:t>
            </w:r>
          </w:p>
        </w:tc>
        <w:tc>
          <w:tcPr>
            <w:tcW w:w="4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ind w:left="1280"/>
              <w:rPr>
                <w:rFonts w:ascii="Times New Roman" w:hAnsi="Times New Roman"/>
                <w:sz w:val="24"/>
                <w:szCs w:val="24"/>
              </w:rPr>
            </w:pPr>
            <w:r w:rsidRPr="00E43688">
              <w:rPr>
                <w:rFonts w:ascii="Arial" w:hAnsi="Arial" w:cs="Arial"/>
                <w:color w:val="1F1A17"/>
                <w:sz w:val="18"/>
                <w:szCs w:val="18"/>
              </w:rPr>
              <w:t xml:space="preserve">BG Group, </w:t>
            </w:r>
            <w:r>
              <w:rPr>
                <w:rFonts w:ascii="Arial" w:hAnsi="Arial" w:cs="Arial"/>
                <w:color w:val="1F1A17"/>
                <w:sz w:val="18"/>
                <w:szCs w:val="18"/>
              </w:rPr>
              <w:t>İskoçya</w:t>
            </w:r>
          </w:p>
        </w:tc>
      </w:tr>
      <w:tr w:rsidTr="00036A52">
        <w:tblPrEx>
          <w:tblW w:w="0" w:type="auto"/>
          <w:tblLayout w:type="fixed"/>
          <w:tblCellMar>
            <w:left w:w="0" w:type="dxa"/>
            <w:right w:w="0" w:type="dxa"/>
          </w:tblCellMar>
          <w:tblLook w:val="0000"/>
        </w:tblPrEx>
        <w:trPr>
          <w:trHeight w:val="39"/>
        </w:trPr>
        <w:tc>
          <w:tcPr>
            <w:tcW w:w="334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4580" w:type="dxa"/>
            <w:tcBorders>
              <w:top w:val="nil"/>
              <w:left w:val="nil"/>
              <w:bottom w:val="nil"/>
              <w:right w:val="nil"/>
            </w:tcBorders>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r>
      <w:tr w:rsidTr="00036A52">
        <w:tblPrEx>
          <w:tblW w:w="0" w:type="auto"/>
          <w:tblLayout w:type="fixed"/>
          <w:tblCellMar>
            <w:left w:w="0" w:type="dxa"/>
            <w:right w:w="0" w:type="dxa"/>
          </w:tblCellMar>
          <w:tblLook w:val="0000"/>
        </w:tblPrEx>
        <w:trPr>
          <w:trHeight w:val="311"/>
        </w:trPr>
        <w:tc>
          <w:tcPr>
            <w:tcW w:w="33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ind w:left="120"/>
              <w:rPr>
                <w:rFonts w:ascii="Times New Roman" w:hAnsi="Times New Roman"/>
                <w:sz w:val="24"/>
                <w:szCs w:val="24"/>
              </w:rPr>
            </w:pPr>
            <w:r w:rsidRPr="00E43688">
              <w:rPr>
                <w:rFonts w:ascii="Arial" w:hAnsi="Arial" w:cs="Arial"/>
                <w:color w:val="1F1A17"/>
                <w:sz w:val="18"/>
                <w:szCs w:val="18"/>
              </w:rPr>
              <w:t xml:space="preserve">NikoResources, </w:t>
            </w:r>
            <w:r>
              <w:rPr>
                <w:rFonts w:ascii="Arial" w:hAnsi="Arial" w:cs="Arial"/>
                <w:color w:val="1F1A17"/>
                <w:sz w:val="18"/>
                <w:szCs w:val="18"/>
              </w:rPr>
              <w:t>K</w:t>
            </w:r>
            <w:r w:rsidRPr="00E43688">
              <w:rPr>
                <w:rFonts w:ascii="Arial" w:hAnsi="Arial" w:cs="Arial"/>
                <w:color w:val="1F1A17"/>
                <w:sz w:val="18"/>
                <w:szCs w:val="18"/>
              </w:rPr>
              <w:t>anada</w:t>
            </w:r>
          </w:p>
        </w:tc>
        <w:tc>
          <w:tcPr>
            <w:tcW w:w="4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24"/>
                <w:szCs w:val="24"/>
              </w:rPr>
            </w:pPr>
          </w:p>
        </w:tc>
      </w:tr>
      <w:tr w:rsidTr="00036A52">
        <w:tblPrEx>
          <w:tblW w:w="0" w:type="auto"/>
          <w:tblLayout w:type="fixed"/>
          <w:tblCellMar>
            <w:left w:w="0" w:type="dxa"/>
            <w:right w:w="0" w:type="dxa"/>
          </w:tblCellMar>
          <w:tblLook w:val="0000"/>
        </w:tblPrEx>
        <w:trPr>
          <w:trHeight w:val="45"/>
        </w:trPr>
        <w:tc>
          <w:tcPr>
            <w:tcW w:w="334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c>
          <w:tcPr>
            <w:tcW w:w="4580" w:type="dxa"/>
            <w:tcBorders>
              <w:top w:val="nil"/>
              <w:left w:val="nil"/>
              <w:bottom w:val="nil"/>
              <w:right w:val="nil"/>
            </w:tcBorders>
            <w:shd w:val="clear" w:color="auto" w:fill="F7C44A"/>
            <w:vAlign w:val="bottom"/>
          </w:tcPr>
          <w:p w:rsidR="00036A52" w:rsidRPr="00E43688" w:rsidP="00036A52">
            <w:pPr>
              <w:widowControl w:val="0"/>
              <w:autoSpaceDE w:val="0"/>
              <w:autoSpaceDN w:val="0"/>
              <w:adjustRightInd w:val="0"/>
              <w:spacing w:after="0" w:line="240" w:lineRule="auto"/>
              <w:rPr>
                <w:rFonts w:ascii="Times New Roman" w:hAnsi="Times New Roman"/>
                <w:sz w:val="3"/>
                <w:szCs w:val="3"/>
              </w:rPr>
            </w:pPr>
          </w:p>
        </w:tc>
      </w:tr>
    </w:tbl>
    <w:p w:rsidR="00036A52" w:rsidRPr="00E43688" w:rsidP="00036A52">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00" w:lineRule="exact"/>
        <w:rPr>
          <w:rFonts w:ascii="Times New Roman" w:hAnsi="Times New Roman"/>
          <w:sz w:val="24"/>
          <w:szCs w:val="24"/>
        </w:rPr>
      </w:pPr>
    </w:p>
    <w:p w:rsidR="00036A52" w:rsidRPr="00E43688" w:rsidP="00036A52">
      <w:pPr>
        <w:widowControl w:val="0"/>
        <w:autoSpaceDE w:val="0"/>
        <w:autoSpaceDN w:val="0"/>
        <w:adjustRightInd w:val="0"/>
        <w:spacing w:after="0" w:line="268" w:lineRule="exact"/>
        <w:rPr>
          <w:rFonts w:ascii="Times New Roman" w:hAnsi="Times New Roman"/>
          <w:sz w:val="24"/>
          <w:szCs w:val="24"/>
        </w:rPr>
      </w:pPr>
    </w:p>
    <w:p w:rsidR="00036A52" w:rsidP="00036A52">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E43688">
        <w:rPr>
          <w:rFonts w:ascii="Arial" w:hAnsi="Arial" w:cs="Arial"/>
          <w:color w:val="1F1A17"/>
          <w:sz w:val="17"/>
          <w:szCs w:val="17"/>
        </w:rPr>
        <w:t xml:space="preserve"> </w:t>
      </w:r>
      <w:r>
        <w:rPr>
          <w:rFonts w:ascii="Arial" w:hAnsi="Arial" w:cs="Arial"/>
          <w:color w:val="1F1A17"/>
          <w:sz w:val="17"/>
          <w:szCs w:val="17"/>
        </w:rPr>
        <w:t>HİNDİSTAN-TÜRKİYE Ticari</w:t>
      </w:r>
      <w:r w:rsidRPr="004511AE">
        <w:rPr>
          <w:rFonts w:ascii="Arial" w:hAnsi="Arial" w:cs="Arial"/>
          <w:color w:val="1F1A17"/>
          <w:sz w:val="17"/>
          <w:szCs w:val="17"/>
        </w:rPr>
        <w:t xml:space="preserve"> ve Ekonomik İlişkiler: Gelecek için Beklentiler</w:t>
      </w:r>
    </w:p>
    <w:p w:rsidR="00CD158B">
      <w:pPr>
        <w:widowControl w:val="0"/>
        <w:autoSpaceDE w:val="0"/>
        <w:autoSpaceDN w:val="0"/>
        <w:adjustRightInd w:val="0"/>
        <w:spacing w:after="0" w:line="200" w:lineRule="exact"/>
        <w:rPr>
          <w:rFonts w:ascii="Times New Roman" w:hAnsi="Times New Roman"/>
          <w:sz w:val="24"/>
          <w:szCs w:val="24"/>
        </w:rPr>
      </w:pPr>
      <w:bookmarkStart w:id="13" w:name="page70"/>
      <w:bookmarkEnd w:id="13"/>
      <w:r>
        <w:rPr>
          <w:noProof/>
        </w:rPr>
        <w:drawing>
          <wp:anchor distT="0" distB="0" distL="114300" distR="114300" simplePos="0" relativeHeight="251662336" behindDoc="1" locked="0" layoutInCell="0" allowOverlap="1">
            <wp:simplePos x="0" y="0"/>
            <wp:positionH relativeFrom="page">
              <wp:posOffset>9525</wp:posOffset>
            </wp:positionH>
            <wp:positionV relativeFrom="page">
              <wp:posOffset>390525</wp:posOffset>
            </wp:positionV>
            <wp:extent cx="7880350" cy="9446895"/>
            <wp:effectExtent l="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88331" name="Picture 78"/>
                    <pic:cNvPicPr>
                      <a:picLocks noChangeAspect="1" noChangeArrowheads="1"/>
                    </pic:cNvPicPr>
                  </pic:nvPicPr>
                  <pic:blipFill>
                    <a:blip xmlns:r="http://schemas.openxmlformats.org/officeDocument/2006/relationships" r:embed="rId4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33" w:lineRule="exact"/>
        <w:rPr>
          <w:rFonts w:ascii="Times New Roman" w:hAnsi="Times New Roman"/>
          <w:sz w:val="24"/>
          <w:szCs w:val="24"/>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 xml:space="preserve">Yenilenebilir Enerji </w:t>
      </w:r>
    </w:p>
    <w:p w:rsidR="00493D0A" w:rsidRPr="0087022D" w:rsidP="00493D0A">
      <w:pPr>
        <w:widowControl w:val="0"/>
        <w:autoSpaceDE w:val="0"/>
        <w:autoSpaceDN w:val="0"/>
        <w:adjustRightInd w:val="0"/>
        <w:spacing w:after="0" w:line="263"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Hindistan büyük güneş enerjisi potansiyeline sahiptir ve güneş enerjisi santrallerinin önemli bir üretim merkezi olarak hızlı bir şekilde gelişmektedir. </w:t>
      </w:r>
      <w:r w:rsidR="003A2816">
        <w:rPr>
          <w:rFonts w:ascii="Arial" w:eastAsia="Arial" w:hAnsi="Arial" w:cs="Arial"/>
          <w:color w:val="1F1A17"/>
          <w:sz w:val="20"/>
          <w:szCs w:val="20"/>
        </w:rPr>
        <w:t>Hindistan’ın Kurulu</w:t>
      </w:r>
      <w:r>
        <w:rPr>
          <w:rFonts w:ascii="Arial" w:eastAsia="Arial" w:hAnsi="Arial" w:cs="Arial"/>
          <w:color w:val="1F1A17"/>
          <w:sz w:val="20"/>
          <w:szCs w:val="20"/>
        </w:rPr>
        <w:t xml:space="preserve"> güneş enerjisi kapasitesi FY 13-14'te güçlükle 2647 MW'tan</w:t>
      </w:r>
      <w:r w:rsidR="00384C4A">
        <w:rPr>
          <w:rFonts w:ascii="Arial" w:eastAsia="Arial" w:hAnsi="Arial" w:cs="Arial"/>
          <w:color w:val="1F1A17"/>
          <w:sz w:val="20"/>
          <w:szCs w:val="20"/>
        </w:rPr>
        <w:t xml:space="preserve">(Mega Watt) </w:t>
      </w:r>
      <w:r>
        <w:rPr>
          <w:rFonts w:ascii="Arial" w:eastAsia="Arial" w:hAnsi="Arial" w:cs="Arial"/>
          <w:color w:val="1F1A17"/>
          <w:sz w:val="20"/>
          <w:szCs w:val="20"/>
        </w:rPr>
        <w:t>FY 13 yılı sonunda 1.686 MW'a yükselmiştir. Ayrıca, yıllık PV-kurulu kapasitede 2010-14 döneminde %</w:t>
      </w:r>
      <w:r w:rsidR="003A2816">
        <w:rPr>
          <w:rFonts w:ascii="Arial" w:eastAsia="Arial" w:hAnsi="Arial" w:cs="Arial"/>
          <w:color w:val="1F1A17"/>
          <w:sz w:val="20"/>
          <w:szCs w:val="20"/>
        </w:rPr>
        <w:t>49,5</w:t>
      </w:r>
      <w:r>
        <w:rPr>
          <w:rFonts w:ascii="Arial" w:eastAsia="Arial" w:hAnsi="Arial" w:cs="Arial"/>
          <w:color w:val="1F1A17"/>
          <w:sz w:val="20"/>
          <w:szCs w:val="20"/>
        </w:rPr>
        <w:t xml:space="preserve"> civarında bir yıllık bileşik büyüme öngörülmekte ve bu kapasitenin 2014 yılı sonuna kadar 1.500 MW'a ulaşması beklenmektedir.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Kurulu kapasitenin yaklaşık %70'i (</w:t>
      </w:r>
      <w:r w:rsidR="003A2816">
        <w:rPr>
          <w:rFonts w:ascii="Arial" w:eastAsia="Arial" w:hAnsi="Arial" w:cs="Arial"/>
          <w:color w:val="1F1A17"/>
          <w:sz w:val="20"/>
          <w:szCs w:val="20"/>
        </w:rPr>
        <w:t>21,1</w:t>
      </w:r>
      <w:r>
        <w:rPr>
          <w:rFonts w:ascii="Arial" w:eastAsia="Arial" w:hAnsi="Arial" w:cs="Arial"/>
          <w:color w:val="1F1A17"/>
          <w:sz w:val="20"/>
          <w:szCs w:val="20"/>
        </w:rPr>
        <w:t xml:space="preserve"> GW) </w:t>
      </w:r>
      <w:r w:rsidR="003A2816">
        <w:rPr>
          <w:rFonts w:ascii="Arial" w:eastAsia="Arial" w:hAnsi="Arial" w:cs="Arial"/>
          <w:color w:val="1F1A17"/>
          <w:sz w:val="20"/>
          <w:szCs w:val="20"/>
        </w:rPr>
        <w:t>rüzgâr</w:t>
      </w:r>
      <w:r>
        <w:rPr>
          <w:rFonts w:ascii="Arial" w:eastAsia="Arial" w:hAnsi="Arial" w:cs="Arial"/>
          <w:color w:val="1F1A17"/>
          <w:sz w:val="20"/>
          <w:szCs w:val="20"/>
        </w:rPr>
        <w:t xml:space="preserve"> enerjisinden oluşmaktadır ve bu oran Hindistan'ı dünyanın beşinci en büyük </w:t>
      </w:r>
      <w:r w:rsidR="003A2816">
        <w:rPr>
          <w:rFonts w:ascii="Arial" w:eastAsia="Arial" w:hAnsi="Arial" w:cs="Arial"/>
          <w:color w:val="1F1A17"/>
          <w:sz w:val="20"/>
          <w:szCs w:val="20"/>
        </w:rPr>
        <w:t>rüzgâr</w:t>
      </w:r>
      <w:r>
        <w:rPr>
          <w:rFonts w:ascii="Arial" w:eastAsia="Arial" w:hAnsi="Arial" w:cs="Arial"/>
          <w:color w:val="1F1A17"/>
          <w:sz w:val="20"/>
          <w:szCs w:val="20"/>
        </w:rPr>
        <w:t xml:space="preserve"> enerjisi üreticisi yapmaktadır. Hindistan Hükümeti FY 17 sonunda neredeyse 55GW'lık</w:t>
      </w:r>
      <w:r w:rsidR="00384C4A">
        <w:rPr>
          <w:rFonts w:ascii="Arial" w:eastAsia="Arial" w:hAnsi="Arial" w:cs="Arial"/>
          <w:color w:val="1F1A17"/>
          <w:sz w:val="20"/>
          <w:szCs w:val="20"/>
        </w:rPr>
        <w:t xml:space="preserve">(GW= Brüt Ağırlık) </w:t>
      </w:r>
      <w:r>
        <w:rPr>
          <w:rFonts w:ascii="Arial" w:eastAsia="Arial" w:hAnsi="Arial" w:cs="Arial"/>
          <w:color w:val="1F1A17"/>
          <w:sz w:val="20"/>
          <w:szCs w:val="20"/>
        </w:rPr>
        <w:t xml:space="preserve">toplam yenilenebilir kapasiteye ulaşmak üzere 12. Beş Yıllık Plan için </w:t>
      </w:r>
      <w:r w:rsidR="003A2816">
        <w:rPr>
          <w:rFonts w:ascii="Arial" w:eastAsia="Arial" w:hAnsi="Arial" w:cs="Arial"/>
          <w:color w:val="1F1A17"/>
          <w:sz w:val="20"/>
          <w:szCs w:val="20"/>
        </w:rPr>
        <w:t>30,0</w:t>
      </w:r>
      <w:r>
        <w:rPr>
          <w:rFonts w:ascii="Arial" w:eastAsia="Arial" w:hAnsi="Arial" w:cs="Arial"/>
          <w:color w:val="1F1A17"/>
          <w:sz w:val="20"/>
          <w:szCs w:val="20"/>
        </w:rPr>
        <w:t xml:space="preserve">GW'lık yenilenebilir enerji kapasitesini ilave hedef olarak belirlemiştir. Bu 15 GW </w:t>
      </w:r>
      <w:r w:rsidR="003A2816">
        <w:rPr>
          <w:rFonts w:ascii="Arial" w:eastAsia="Arial" w:hAnsi="Arial" w:cs="Arial"/>
          <w:color w:val="1F1A17"/>
          <w:sz w:val="20"/>
          <w:szCs w:val="20"/>
        </w:rPr>
        <w:t>rüzgâr</w:t>
      </w:r>
      <w:r>
        <w:rPr>
          <w:rFonts w:ascii="Arial" w:eastAsia="Arial" w:hAnsi="Arial" w:cs="Arial"/>
          <w:color w:val="1F1A17"/>
          <w:sz w:val="20"/>
          <w:szCs w:val="20"/>
        </w:rPr>
        <w:t xml:space="preserve">, 10 GW güneş, </w:t>
      </w:r>
      <w:r w:rsidR="003A2816">
        <w:rPr>
          <w:rFonts w:ascii="Arial" w:eastAsia="Arial" w:hAnsi="Arial" w:cs="Arial"/>
          <w:color w:val="1F1A17"/>
          <w:sz w:val="20"/>
          <w:szCs w:val="20"/>
        </w:rPr>
        <w:t>2,9</w:t>
      </w:r>
      <w:r>
        <w:rPr>
          <w:rFonts w:ascii="Arial" w:eastAsia="Arial" w:hAnsi="Arial" w:cs="Arial"/>
          <w:color w:val="1F1A17"/>
          <w:sz w:val="20"/>
          <w:szCs w:val="20"/>
        </w:rPr>
        <w:t xml:space="preserve"> GW </w:t>
      </w:r>
      <w:r w:rsidR="003A2816">
        <w:rPr>
          <w:rFonts w:ascii="Arial" w:eastAsia="Arial" w:hAnsi="Arial" w:cs="Arial"/>
          <w:color w:val="1F1A17"/>
          <w:sz w:val="20"/>
          <w:szCs w:val="20"/>
        </w:rPr>
        <w:t>bi</w:t>
      </w:r>
      <w:r w:rsidR="00384C4A">
        <w:rPr>
          <w:rFonts w:ascii="Arial" w:eastAsia="Arial" w:hAnsi="Arial" w:cs="Arial"/>
          <w:color w:val="1F1A17"/>
          <w:sz w:val="20"/>
          <w:szCs w:val="20"/>
        </w:rPr>
        <w:t>y</w:t>
      </w:r>
      <w:r w:rsidR="003A2816">
        <w:rPr>
          <w:rFonts w:ascii="Arial" w:eastAsia="Arial" w:hAnsi="Arial" w:cs="Arial"/>
          <w:color w:val="1F1A17"/>
          <w:sz w:val="20"/>
          <w:szCs w:val="20"/>
        </w:rPr>
        <w:t>okütle</w:t>
      </w:r>
      <w:r>
        <w:rPr>
          <w:rFonts w:ascii="Arial" w:eastAsia="Arial" w:hAnsi="Arial" w:cs="Arial"/>
          <w:color w:val="1F1A17"/>
          <w:sz w:val="20"/>
          <w:szCs w:val="20"/>
        </w:rPr>
        <w:t xml:space="preserve"> ve </w:t>
      </w:r>
      <w:r w:rsidR="003A2816">
        <w:rPr>
          <w:rFonts w:ascii="Arial" w:eastAsia="Arial" w:hAnsi="Arial" w:cs="Arial"/>
          <w:color w:val="1F1A17"/>
          <w:sz w:val="20"/>
          <w:szCs w:val="20"/>
        </w:rPr>
        <w:t>2,1</w:t>
      </w:r>
      <w:r>
        <w:rPr>
          <w:rFonts w:ascii="Arial" w:eastAsia="Arial" w:hAnsi="Arial" w:cs="Arial"/>
          <w:color w:val="1F1A17"/>
          <w:sz w:val="20"/>
          <w:szCs w:val="20"/>
        </w:rPr>
        <w:t xml:space="preserve"> GW küçük hidro enerjisinden oluşmaktadır. Küçük hidro</w:t>
      </w:r>
      <w:r w:rsidR="003A2816">
        <w:rPr>
          <w:rFonts w:ascii="Arial" w:eastAsia="Arial" w:hAnsi="Arial" w:cs="Arial"/>
          <w:color w:val="1F1A17"/>
          <w:sz w:val="20"/>
          <w:szCs w:val="20"/>
        </w:rPr>
        <w:t>19,7</w:t>
      </w:r>
      <w:r>
        <w:rPr>
          <w:rFonts w:ascii="Arial" w:eastAsia="Arial" w:hAnsi="Arial" w:cs="Arial"/>
          <w:color w:val="1F1A17"/>
          <w:sz w:val="20"/>
          <w:szCs w:val="20"/>
        </w:rPr>
        <w:t xml:space="preserve">GW'lık tahmini potansiyele karşılık olarak </w:t>
      </w:r>
      <w:r w:rsidR="003A2816">
        <w:rPr>
          <w:rFonts w:ascii="Arial" w:eastAsia="Arial" w:hAnsi="Arial" w:cs="Arial"/>
          <w:color w:val="1F1A17"/>
          <w:sz w:val="20"/>
          <w:szCs w:val="20"/>
        </w:rPr>
        <w:t>3,8</w:t>
      </w:r>
      <w:r>
        <w:rPr>
          <w:rFonts w:ascii="Arial" w:eastAsia="Arial" w:hAnsi="Arial" w:cs="Arial"/>
          <w:color w:val="1F1A17"/>
          <w:sz w:val="20"/>
          <w:szCs w:val="20"/>
        </w:rPr>
        <w:t>GW'lık kapasite kurmuştur. Bio-enerji (</w:t>
      </w:r>
      <w:r w:rsidR="003A2816">
        <w:rPr>
          <w:rFonts w:ascii="Arial" w:eastAsia="Arial" w:hAnsi="Arial" w:cs="Arial"/>
          <w:color w:val="1F1A17"/>
          <w:sz w:val="20"/>
          <w:szCs w:val="20"/>
        </w:rPr>
        <w:t>biokütle</w:t>
      </w:r>
      <w:r>
        <w:rPr>
          <w:rFonts w:ascii="Arial" w:eastAsia="Arial" w:hAnsi="Arial" w:cs="Arial"/>
          <w:color w:val="1F1A17"/>
          <w:sz w:val="20"/>
          <w:szCs w:val="20"/>
        </w:rPr>
        <w:t xml:space="preserve"> ve küspe kojenerasyonu da </w:t>
      </w:r>
      <w:r w:rsidR="003A2816">
        <w:rPr>
          <w:rFonts w:ascii="Arial" w:eastAsia="Arial" w:hAnsi="Arial" w:cs="Arial"/>
          <w:color w:val="1F1A17"/>
          <w:sz w:val="20"/>
          <w:szCs w:val="20"/>
        </w:rPr>
        <w:t>dâhil</w:t>
      </w:r>
      <w:r>
        <w:rPr>
          <w:rFonts w:ascii="Arial" w:eastAsia="Arial" w:hAnsi="Arial" w:cs="Arial"/>
          <w:color w:val="1F1A17"/>
          <w:sz w:val="20"/>
          <w:szCs w:val="20"/>
        </w:rPr>
        <w:t xml:space="preserve">) </w:t>
      </w:r>
      <w:r w:rsidR="003A2816">
        <w:rPr>
          <w:rFonts w:ascii="Arial" w:eastAsia="Arial" w:hAnsi="Arial" w:cs="Arial"/>
          <w:color w:val="1F1A17"/>
          <w:sz w:val="20"/>
          <w:szCs w:val="20"/>
        </w:rPr>
        <w:t>22,5</w:t>
      </w:r>
      <w:r>
        <w:rPr>
          <w:rFonts w:ascii="Arial" w:eastAsia="Arial" w:hAnsi="Arial" w:cs="Arial"/>
          <w:color w:val="1F1A17"/>
          <w:sz w:val="20"/>
          <w:szCs w:val="20"/>
        </w:rPr>
        <w:t xml:space="preserve"> GW tahmini potansiyele karşılık </w:t>
      </w:r>
      <w:r w:rsidR="003A2816">
        <w:rPr>
          <w:rFonts w:ascii="Arial" w:eastAsia="Arial" w:hAnsi="Arial" w:cs="Arial"/>
          <w:color w:val="1F1A17"/>
          <w:sz w:val="20"/>
          <w:szCs w:val="20"/>
        </w:rPr>
        <w:t>4,1</w:t>
      </w:r>
      <w:r>
        <w:rPr>
          <w:rFonts w:ascii="Arial" w:eastAsia="Arial" w:hAnsi="Arial" w:cs="Arial"/>
          <w:color w:val="1F1A17"/>
          <w:sz w:val="20"/>
          <w:szCs w:val="20"/>
        </w:rPr>
        <w:t xml:space="preserve">GW'lık kurulu güce sahiptir. Güneş enerjisi (milyar GWh) 6 GW'a karşılık </w:t>
      </w:r>
      <w:r w:rsidR="003A2816">
        <w:rPr>
          <w:rFonts w:ascii="Arial" w:eastAsia="Arial" w:hAnsi="Arial" w:cs="Arial"/>
          <w:color w:val="1F1A17"/>
          <w:sz w:val="20"/>
          <w:szCs w:val="20"/>
        </w:rPr>
        <w:t>1,7</w:t>
      </w:r>
      <w:r>
        <w:rPr>
          <w:rFonts w:ascii="Arial" w:eastAsia="Arial" w:hAnsi="Arial" w:cs="Arial"/>
          <w:color w:val="1F1A17"/>
          <w:sz w:val="20"/>
          <w:szCs w:val="20"/>
        </w:rPr>
        <w:t>GW'lık kapasite kurmuştur.</w:t>
      </w:r>
    </w:p>
    <w:p w:rsidR="00493D0A" w:rsidRPr="0087022D" w:rsidP="00493D0A">
      <w:pPr>
        <w:widowControl w:val="0"/>
        <w:autoSpaceDE w:val="0"/>
        <w:autoSpaceDN w:val="0"/>
        <w:adjustRightInd w:val="0"/>
        <w:spacing w:after="0" w:line="27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 xml:space="preserve">2010 yılında Ülkelere Göre </w:t>
      </w:r>
      <w:r w:rsidR="003A2816">
        <w:rPr>
          <w:rFonts w:ascii="Arial" w:eastAsia="Arial" w:hAnsi="Arial" w:cs="Arial"/>
          <w:b/>
          <w:bCs/>
          <w:color w:val="E87817"/>
          <w:sz w:val="20"/>
          <w:szCs w:val="20"/>
        </w:rPr>
        <w:t>Rüzgâr</w:t>
      </w:r>
      <w:r>
        <w:rPr>
          <w:rFonts w:ascii="Arial" w:eastAsia="Arial" w:hAnsi="Arial" w:cs="Arial"/>
          <w:b/>
          <w:bCs/>
          <w:color w:val="E87817"/>
          <w:sz w:val="20"/>
          <w:szCs w:val="20"/>
        </w:rPr>
        <w:t xml:space="preserve"> Enerjisi Üretim Kapasitesi </w:t>
      </w:r>
    </w:p>
    <w:p w:rsidR="00493D0A" w:rsidRPr="0087022D" w:rsidP="00493D0A">
      <w:pPr>
        <w:widowControl w:val="0"/>
        <w:autoSpaceDE w:val="0"/>
        <w:autoSpaceDN w:val="0"/>
        <w:adjustRightInd w:val="0"/>
        <w:spacing w:after="0" w:line="116"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360"/>
        <w:gridCol w:w="2240"/>
        <w:gridCol w:w="5320"/>
      </w:tblGrid>
      <w:tr w:rsidTr="00036A52">
        <w:tblPrEx>
          <w:tblW w:w="0" w:type="auto"/>
          <w:tblLayout w:type="fixed"/>
          <w:tblCellMar>
            <w:left w:w="0" w:type="dxa"/>
            <w:right w:w="0" w:type="dxa"/>
          </w:tblCellMar>
          <w:tblLook w:val="0000"/>
        </w:tblPrEx>
        <w:trPr>
          <w:trHeight w:val="211"/>
        </w:trPr>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8"/>
                <w:szCs w:val="18"/>
                <w:lang w:val="en-US"/>
              </w:rPr>
            </w:pPr>
          </w:p>
        </w:tc>
        <w:tc>
          <w:tcPr>
            <w:tcW w:w="2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8"/>
                <w:szCs w:val="18"/>
                <w:lang w:val="en-US"/>
              </w:rPr>
            </w:pP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040"/>
              <w:rPr>
                <w:rFonts w:ascii="Times New Roman" w:hAnsi="Times New Roman"/>
                <w:sz w:val="24"/>
                <w:szCs w:val="24"/>
                <w:lang w:val="en-US"/>
              </w:rPr>
            </w:pPr>
            <w:r>
              <w:rPr>
                <w:rFonts w:ascii="Arial" w:eastAsia="Arial" w:hAnsi="Arial" w:cs="Arial"/>
                <w:b/>
                <w:bCs/>
                <w:color w:val="1F1A17"/>
                <w:sz w:val="18"/>
                <w:szCs w:val="18"/>
              </w:rPr>
              <w:t>(MW olarak)</w:t>
            </w:r>
          </w:p>
        </w:tc>
      </w:tr>
      <w:tr w:rsidTr="00036A52">
        <w:tblPrEx>
          <w:tblW w:w="0" w:type="auto"/>
          <w:tblLayout w:type="fixed"/>
          <w:tblCellMar>
            <w:left w:w="0" w:type="dxa"/>
            <w:right w:w="0" w:type="dxa"/>
          </w:tblCellMar>
          <w:tblLook w:val="0000"/>
        </w:tblPrEx>
        <w:trPr>
          <w:trHeight w:val="132"/>
        </w:trPr>
        <w:tc>
          <w:tcPr>
            <w:tcW w:w="26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1"/>
                <w:szCs w:val="11"/>
                <w:lang w:val="en-US"/>
              </w:rPr>
            </w:pP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1"/>
                <w:szCs w:val="11"/>
                <w:lang w:val="en-US"/>
              </w:rPr>
            </w:pPr>
          </w:p>
        </w:tc>
      </w:tr>
      <w:tr w:rsidTr="00036A52">
        <w:tblPrEx>
          <w:tblW w:w="0" w:type="auto"/>
          <w:tblLayout w:type="fixed"/>
          <w:tblCellMar>
            <w:left w:w="0" w:type="dxa"/>
            <w:right w:w="0" w:type="dxa"/>
          </w:tblCellMar>
          <w:tblLook w:val="0000"/>
        </w:tblPrEx>
        <w:trPr>
          <w:trHeight w:val="336"/>
        </w:trPr>
        <w:tc>
          <w:tcPr>
            <w:tcW w:w="2600" w:type="dxa"/>
            <w:gridSpan w:val="2"/>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 xml:space="preserve">Ülke </w:t>
            </w:r>
          </w:p>
        </w:tc>
        <w:tc>
          <w:tcPr>
            <w:tcW w:w="532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ind w:left="2820"/>
              <w:rPr>
                <w:rFonts w:ascii="Times New Roman" w:hAnsi="Times New Roman"/>
                <w:sz w:val="24"/>
                <w:szCs w:val="24"/>
                <w:lang w:val="en-US"/>
              </w:rPr>
            </w:pPr>
            <w:r>
              <w:rPr>
                <w:rFonts w:ascii="Arial" w:eastAsia="Arial" w:hAnsi="Arial" w:cs="Arial"/>
                <w:b/>
                <w:bCs/>
                <w:color w:val="FFFFFF"/>
                <w:sz w:val="20"/>
                <w:szCs w:val="20"/>
              </w:rPr>
              <w:t xml:space="preserve">MW Üretim Kapasitesi </w:t>
            </w:r>
          </w:p>
        </w:tc>
      </w:tr>
      <w:tr w:rsidTr="00036A52">
        <w:tblPrEx>
          <w:tblW w:w="0" w:type="auto"/>
          <w:tblLayout w:type="fixed"/>
          <w:tblCellMar>
            <w:left w:w="0" w:type="dxa"/>
            <w:right w:w="0" w:type="dxa"/>
          </w:tblCellMar>
          <w:tblLook w:val="0000"/>
        </w:tblPrEx>
        <w:trPr>
          <w:trHeight w:val="289"/>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w:t>
            </w: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Çin </w:t>
            </w: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2589"/>
              <w:jc w:val="center"/>
              <w:rPr>
                <w:rFonts w:ascii="Times New Roman" w:hAnsi="Times New Roman"/>
                <w:sz w:val="24"/>
                <w:szCs w:val="24"/>
                <w:lang w:val="en-US"/>
              </w:rPr>
            </w:pPr>
            <w:r w:rsidRPr="0087022D">
              <w:rPr>
                <w:rFonts w:ascii="Arial" w:hAnsi="Arial" w:cs="Arial"/>
                <w:color w:val="1F1A17"/>
                <w:sz w:val="18"/>
                <w:szCs w:val="18"/>
                <w:lang w:val="en-US"/>
              </w:rPr>
              <w:t>42.227</w:t>
            </w:r>
          </w:p>
        </w:tc>
      </w:tr>
      <w:tr w:rsidTr="00036A52">
        <w:tblPrEx>
          <w:tblW w:w="0" w:type="auto"/>
          <w:tblLayout w:type="fixed"/>
          <w:tblCellMar>
            <w:left w:w="0" w:type="dxa"/>
            <w:right w:w="0" w:type="dxa"/>
          </w:tblCellMar>
          <w:tblLook w:val="0000"/>
        </w:tblPrEx>
        <w:trPr>
          <w:trHeight w:val="67"/>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83"/>
        </w:trPr>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w:t>
            </w:r>
          </w:p>
        </w:tc>
        <w:tc>
          <w:tcPr>
            <w:tcW w:w="2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Birleşik Devletler </w:t>
            </w: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569"/>
              <w:jc w:val="center"/>
              <w:rPr>
                <w:rFonts w:ascii="Times New Roman" w:hAnsi="Times New Roman"/>
                <w:sz w:val="24"/>
                <w:szCs w:val="24"/>
                <w:lang w:val="en-US"/>
              </w:rPr>
            </w:pPr>
            <w:r w:rsidRPr="0087022D">
              <w:rPr>
                <w:rFonts w:ascii="Arial" w:hAnsi="Arial" w:cs="Arial"/>
                <w:color w:val="1F1A17"/>
                <w:w w:val="97"/>
                <w:sz w:val="18"/>
                <w:szCs w:val="18"/>
                <w:lang w:val="en-US"/>
              </w:rPr>
              <w:t>40,100</w:t>
            </w:r>
          </w:p>
        </w:tc>
      </w:tr>
      <w:tr w:rsidTr="00036A52">
        <w:tblPrEx>
          <w:tblW w:w="0" w:type="auto"/>
          <w:tblLayout w:type="fixed"/>
          <w:tblCellMar>
            <w:left w:w="0" w:type="dxa"/>
            <w:right w:w="0" w:type="dxa"/>
          </w:tblCellMar>
          <w:tblLook w:val="0000"/>
        </w:tblPrEx>
        <w:trPr>
          <w:trHeight w:val="72"/>
        </w:trPr>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8"/>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3</w:t>
            </w: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Almanya </w:t>
            </w: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2569"/>
              <w:jc w:val="center"/>
              <w:rPr>
                <w:rFonts w:ascii="Times New Roman" w:hAnsi="Times New Roman"/>
                <w:sz w:val="24"/>
                <w:szCs w:val="24"/>
                <w:lang w:val="en-US"/>
              </w:rPr>
            </w:pPr>
            <w:r w:rsidRPr="0087022D">
              <w:rPr>
                <w:rFonts w:ascii="Arial" w:hAnsi="Arial" w:cs="Arial"/>
                <w:color w:val="1F1A17"/>
                <w:w w:val="90"/>
                <w:sz w:val="18"/>
                <w:szCs w:val="18"/>
                <w:lang w:val="en-US"/>
              </w:rPr>
              <w:t>27,214</w:t>
            </w:r>
          </w:p>
        </w:tc>
      </w:tr>
      <w:tr w:rsidTr="00036A52">
        <w:tblPrEx>
          <w:tblW w:w="0" w:type="auto"/>
          <w:tblLayout w:type="fixed"/>
          <w:tblCellMar>
            <w:left w:w="0" w:type="dxa"/>
            <w:right w:w="0" w:type="dxa"/>
          </w:tblCellMar>
          <w:tblLook w:val="0000"/>
        </w:tblPrEx>
        <w:trPr>
          <w:trHeight w:val="78"/>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2"/>
        </w:trPr>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4</w:t>
            </w:r>
          </w:p>
        </w:tc>
        <w:tc>
          <w:tcPr>
            <w:tcW w:w="2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İspanya </w:t>
            </w: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569"/>
              <w:jc w:val="center"/>
              <w:rPr>
                <w:rFonts w:ascii="Times New Roman" w:hAnsi="Times New Roman"/>
                <w:sz w:val="24"/>
                <w:szCs w:val="24"/>
                <w:lang w:val="en-US"/>
              </w:rPr>
            </w:pPr>
            <w:r w:rsidRPr="0087022D">
              <w:rPr>
                <w:rFonts w:ascii="Arial" w:hAnsi="Arial" w:cs="Arial"/>
                <w:color w:val="1F1A17"/>
                <w:w w:val="97"/>
                <w:sz w:val="18"/>
                <w:szCs w:val="18"/>
                <w:lang w:val="en-US"/>
              </w:rPr>
              <w:t>20,676</w:t>
            </w:r>
          </w:p>
        </w:tc>
      </w:tr>
      <w:tr w:rsidTr="00036A52">
        <w:tblPrEx>
          <w:tblW w:w="0" w:type="auto"/>
          <w:tblLayout w:type="fixed"/>
          <w:tblCellMar>
            <w:left w:w="0" w:type="dxa"/>
            <w:right w:w="0" w:type="dxa"/>
          </w:tblCellMar>
          <w:tblLook w:val="0000"/>
        </w:tblPrEx>
        <w:trPr>
          <w:trHeight w:val="84"/>
        </w:trPr>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2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53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r>
      <w:tr w:rsidTr="00036A52">
        <w:tblPrEx>
          <w:tblW w:w="0" w:type="auto"/>
          <w:tblLayout w:type="fixed"/>
          <w:tblCellMar>
            <w:left w:w="0" w:type="dxa"/>
            <w:right w:w="0" w:type="dxa"/>
          </w:tblCellMar>
          <w:tblLook w:val="0000"/>
        </w:tblPrEx>
        <w:trPr>
          <w:trHeight w:val="266"/>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5</w:t>
            </w: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Hindistan </w:t>
            </w: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2569"/>
              <w:jc w:val="center"/>
              <w:rPr>
                <w:rFonts w:ascii="Times New Roman" w:hAnsi="Times New Roman"/>
                <w:sz w:val="24"/>
                <w:szCs w:val="24"/>
                <w:lang w:val="en-US"/>
              </w:rPr>
            </w:pPr>
            <w:r w:rsidRPr="0087022D">
              <w:rPr>
                <w:rFonts w:ascii="Arial" w:hAnsi="Arial" w:cs="Arial"/>
                <w:color w:val="1F1A17"/>
                <w:w w:val="97"/>
                <w:sz w:val="18"/>
                <w:szCs w:val="18"/>
                <w:lang w:val="en-US"/>
              </w:rPr>
              <w:t>13,065</w:t>
            </w:r>
          </w:p>
        </w:tc>
      </w:tr>
      <w:tr w:rsidTr="00036A52">
        <w:tblPrEx>
          <w:tblW w:w="0" w:type="auto"/>
          <w:tblLayout w:type="fixed"/>
          <w:tblCellMar>
            <w:left w:w="0" w:type="dxa"/>
            <w:right w:w="0" w:type="dxa"/>
          </w:tblCellMar>
          <w:tblLook w:val="0000"/>
        </w:tblPrEx>
        <w:trPr>
          <w:trHeight w:val="89"/>
        </w:trPr>
        <w:tc>
          <w:tcPr>
            <w:tcW w:w="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22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53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r>
    </w:tbl>
    <w:p w:rsidR="00493D0A" w:rsidRPr="0087022D" w:rsidP="00493D0A">
      <w:pPr>
        <w:widowControl w:val="0"/>
        <w:autoSpaceDE w:val="0"/>
        <w:autoSpaceDN w:val="0"/>
        <w:adjustRightInd w:val="0"/>
        <w:spacing w:after="0" w:line="3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Hindistan 245 GW'lık üretim kapasitesiyle dünya çapında 5'inci en büyük enerji üretim portföyüne sahiptir. Bu büyüme ekonomik büyüme ve artan refah; kentleşmedeki büyüme hızı; kişi başına enerji tüketiminin artışı; ülkede enerji erişiminin genişlemesi gibi çeşitli faktörlere bağlanabilir. Güncel yenilenebilir enerjinin katkısı Mart 2014 tarihinde ülkedeki 245 GW'lık toplam kurulu kapasitenin dışında 31.70 GW'tır.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JawaharlalNehru Ulusal Güneş Misyonu (2022 yılına kadar güneş enerjisi 20.000 MW'lık güneş enerjisi üretmeyi amaçlamaktadır) gibi böyle projel</w:t>
      </w:r>
      <w:r w:rsidR="003A2816">
        <w:rPr>
          <w:rFonts w:ascii="Arial" w:eastAsia="Arial" w:hAnsi="Arial" w:cs="Arial"/>
          <w:color w:val="1F1A17"/>
          <w:sz w:val="20"/>
          <w:szCs w:val="20"/>
        </w:rPr>
        <w:t>er Hindistan'ın potansiyeline dâhil</w:t>
      </w:r>
      <w:r>
        <w:rPr>
          <w:rFonts w:ascii="Arial" w:eastAsia="Arial" w:hAnsi="Arial" w:cs="Arial"/>
          <w:color w:val="1F1A17"/>
          <w:sz w:val="20"/>
          <w:szCs w:val="20"/>
        </w:rPr>
        <w:t xml:space="preserve"> olmak için istekli yatırımcılar arasında olumlu bir ortam yaratmaktadır. Ülke güneş enerjili fotovoltaik (PV) sanayi için sınırsız büyüme potansiyeli sunuyor.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34"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89984" behindDoc="1" locked="0" layoutInCell="0" allowOverlap="1">
            <wp:simplePos x="0" y="0"/>
            <wp:positionH relativeFrom="page">
              <wp:posOffset>0</wp:posOffset>
            </wp:positionH>
            <wp:positionV relativeFrom="page">
              <wp:posOffset>377190</wp:posOffset>
            </wp:positionV>
            <wp:extent cx="7880350" cy="9897110"/>
            <wp:effectExtent l="0" t="0" r="0" b="0"/>
            <wp:wrapNone/>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8400" name="Picture 172"/>
                    <pic:cNvPicPr>
                      <a:picLocks noChangeAspect="1" noChangeArrowheads="1"/>
                    </pic:cNvPicPr>
                  </pic:nvPicPr>
                  <pic:blipFill>
                    <a:blip xmlns:r="http://schemas.openxmlformats.org/officeDocument/2006/relationships" r:embed="rId5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Hindistan küresel çapta 4. en büyük petrol ithalatçısı ve 6. en büyük petrol ürünü ve LNG</w:t>
      </w:r>
      <w:r w:rsidR="003B02C6">
        <w:rPr>
          <w:rFonts w:ascii="Arial" w:eastAsia="Arial" w:hAnsi="Arial" w:cs="Arial"/>
          <w:color w:val="1F1A17"/>
          <w:sz w:val="20"/>
          <w:szCs w:val="20"/>
        </w:rPr>
        <w:t xml:space="preserve"> (sıvı doğal gaz)</w:t>
      </w:r>
      <w:r>
        <w:rPr>
          <w:rFonts w:ascii="Arial" w:eastAsia="Arial" w:hAnsi="Arial" w:cs="Arial"/>
          <w:color w:val="1F1A17"/>
          <w:sz w:val="20"/>
          <w:szCs w:val="20"/>
        </w:rPr>
        <w:t xml:space="preserve"> ithalatçısıdır. Yerli yenilenebilir kaynakların kullanımının artmasının Hindistan'ın pahalı ithal fosil yakıtlara bağımlılığını azaltması beklenmektedir. Hükümet, Yenilenebilir Alım Yükümlülüğü/Yenilenebilir Enerji Sertifikaları, güneş enerjisi ile konvansiyonel gücün donatılması, vb. araçların yanı sıra nesil-tabanlı teşvikler (NTT'ler), sermaye ve faiz sübvansiyonları, finansal kapasite boşluğu finansmanı, imtiyazlı finansman, mali teşvikler gibi çeşitli teşvikler sunarak yenilenebilir enerji kaynaklarının benimsenmesini teşvik etmede aktif bir rol oynamaktadır. </w:t>
      </w:r>
    </w:p>
    <w:p w:rsidR="00493D0A" w:rsidRPr="0087022D" w:rsidP="00493D0A">
      <w:pPr>
        <w:widowControl w:val="0"/>
        <w:autoSpaceDE w:val="0"/>
        <w:autoSpaceDN w:val="0"/>
        <w:adjustRightInd w:val="0"/>
        <w:spacing w:after="0" w:line="22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 xml:space="preserve">Yatırım fırsatları </w:t>
      </w:r>
    </w:p>
    <w:p w:rsidR="00493D0A" w:rsidRPr="0087022D" w:rsidP="00493D0A">
      <w:pPr>
        <w:widowControl w:val="0"/>
        <w:autoSpaceDE w:val="0"/>
        <w:autoSpaceDN w:val="0"/>
        <w:adjustRightInd w:val="0"/>
        <w:spacing w:after="0" w:line="263" w:lineRule="exact"/>
        <w:rPr>
          <w:rFonts w:ascii="Times New Roman" w:hAnsi="Times New Roman"/>
          <w:sz w:val="24"/>
          <w:szCs w:val="24"/>
          <w:lang w:val="en-US"/>
        </w:rPr>
      </w:pPr>
    </w:p>
    <w:p w:rsidR="00493D0A" w:rsidRPr="0087022D" w:rsidP="00493D0A">
      <w:pPr>
        <w:widowControl w:val="0"/>
        <w:numPr>
          <w:ilvl w:val="0"/>
          <w:numId w:val="28"/>
        </w:numPr>
        <w:overflowPunct w:val="0"/>
        <w:autoSpaceDE w:val="0"/>
        <w:autoSpaceDN w:val="0"/>
        <w:adjustRightInd w:val="0"/>
        <w:spacing w:after="0" w:line="240" w:lineRule="auto"/>
        <w:ind w:hanging="358"/>
        <w:jc w:val="both"/>
        <w:rPr>
          <w:rFonts w:ascii="Arial" w:hAnsi="Arial" w:cs="Arial"/>
          <w:color w:val="1F1A17"/>
          <w:lang w:val="en-US"/>
        </w:rPr>
      </w:pPr>
      <w:r>
        <w:rPr>
          <w:rFonts w:ascii="Arial" w:eastAsia="Arial" w:hAnsi="Arial" w:cs="Arial"/>
          <w:color w:val="1F1A17"/>
          <w:sz w:val="20"/>
          <w:szCs w:val="20"/>
        </w:rPr>
        <w:t xml:space="preserve">Hindistan'da 2013 yılında RE sektöründe yatırım 6 milyar dolar civarında olmuştur. </w:t>
      </w:r>
    </w:p>
    <w:p w:rsidR="00493D0A" w:rsidRPr="0087022D" w:rsidP="00493D0A">
      <w:pPr>
        <w:widowControl w:val="0"/>
        <w:autoSpaceDE w:val="0"/>
        <w:autoSpaceDN w:val="0"/>
        <w:adjustRightInd w:val="0"/>
        <w:spacing w:after="0" w:line="267"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84" w:lineRule="auto"/>
        <w:ind w:hanging="358"/>
        <w:jc w:val="both"/>
        <w:rPr>
          <w:rFonts w:ascii="Arial" w:hAnsi="Arial" w:cs="Arial"/>
          <w:color w:val="1F1A17"/>
          <w:lang w:val="en-US"/>
        </w:rPr>
      </w:pPr>
      <w:r>
        <w:rPr>
          <w:rFonts w:ascii="Arial" w:eastAsia="Arial" w:hAnsi="Arial" w:cs="Arial"/>
          <w:color w:val="1F1A17"/>
          <w:sz w:val="20"/>
          <w:szCs w:val="20"/>
        </w:rPr>
        <w:t xml:space="preserve">12'inci Beş Yıllık Planın (2012-17) hedefleri 50 milyar dolarlık yatırım gerektirmektedir. </w:t>
      </w:r>
    </w:p>
    <w:p w:rsidR="00493D0A" w:rsidRPr="0087022D" w:rsidP="00493D0A">
      <w:pPr>
        <w:widowControl w:val="0"/>
        <w:autoSpaceDE w:val="0"/>
        <w:autoSpaceDN w:val="0"/>
        <w:adjustRightInd w:val="0"/>
        <w:spacing w:after="0" w:line="211" w:lineRule="exact"/>
        <w:rPr>
          <w:rFonts w:ascii="Arial" w:hAnsi="Arial" w:cs="Arial"/>
          <w:color w:val="1F1A17"/>
          <w:lang w:val="en-US"/>
        </w:rPr>
      </w:pPr>
    </w:p>
    <w:p w:rsidR="00493D0A" w:rsidRPr="0087022D" w:rsidP="00493D0A">
      <w:pPr>
        <w:widowControl w:val="0"/>
        <w:numPr>
          <w:ilvl w:val="0"/>
          <w:numId w:val="28"/>
        </w:numPr>
        <w:overflowPunct w:val="0"/>
        <w:autoSpaceDE w:val="0"/>
        <w:autoSpaceDN w:val="0"/>
        <w:adjustRightInd w:val="0"/>
        <w:spacing w:after="0" w:line="240" w:lineRule="auto"/>
        <w:ind w:hanging="358"/>
        <w:jc w:val="both"/>
        <w:rPr>
          <w:rFonts w:ascii="Arial" w:hAnsi="Arial" w:cs="Arial"/>
          <w:color w:val="1F1A17"/>
          <w:lang w:val="en-US"/>
        </w:rPr>
      </w:pPr>
      <w:r>
        <w:rPr>
          <w:rFonts w:ascii="Arial" w:eastAsia="Arial" w:hAnsi="Arial" w:cs="Arial"/>
          <w:color w:val="1F1A17"/>
          <w:sz w:val="20"/>
          <w:szCs w:val="20"/>
        </w:rPr>
        <w:t xml:space="preserve">Toplam yatırımda kurumsal finansman ihtiyacı 35 milyar USD'dır. </w:t>
      </w:r>
    </w:p>
    <w:p w:rsidR="00493D0A" w:rsidRPr="0087022D" w:rsidP="00493D0A">
      <w:pPr>
        <w:widowControl w:val="0"/>
        <w:autoSpaceDE w:val="0"/>
        <w:autoSpaceDN w:val="0"/>
        <w:adjustRightInd w:val="0"/>
        <w:spacing w:after="0" w:line="267"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84" w:lineRule="auto"/>
        <w:ind w:hanging="358"/>
        <w:jc w:val="both"/>
        <w:rPr>
          <w:rFonts w:ascii="Arial" w:hAnsi="Arial" w:cs="Arial"/>
          <w:color w:val="1F1A17"/>
          <w:lang w:val="en-US"/>
        </w:rPr>
      </w:pPr>
      <w:r>
        <w:rPr>
          <w:rFonts w:ascii="Arial" w:eastAsia="Arial" w:hAnsi="Arial" w:cs="Arial"/>
          <w:color w:val="1F1A17"/>
          <w:sz w:val="20"/>
          <w:szCs w:val="20"/>
        </w:rPr>
        <w:t>Mart 2013 itibariyle, RE finansta PSB</w:t>
      </w:r>
      <w:r w:rsidR="003A2816">
        <w:rPr>
          <w:rFonts w:ascii="Arial" w:eastAsia="Arial" w:hAnsi="Arial" w:cs="Arial"/>
          <w:color w:val="1F1A17"/>
          <w:sz w:val="20"/>
          <w:szCs w:val="20"/>
        </w:rPr>
        <w:t>’</w:t>
      </w:r>
      <w:r>
        <w:rPr>
          <w:rFonts w:ascii="Arial" w:eastAsia="Arial" w:hAnsi="Arial" w:cs="Arial"/>
          <w:color w:val="1F1A17"/>
          <w:sz w:val="20"/>
          <w:szCs w:val="20"/>
        </w:rPr>
        <w:t xml:space="preserve">lerin payı - enerji sektörüne borcun %5'idir.  </w:t>
      </w:r>
    </w:p>
    <w:p w:rsidR="00493D0A" w:rsidRPr="0087022D" w:rsidP="00493D0A">
      <w:pPr>
        <w:widowControl w:val="0"/>
        <w:autoSpaceDE w:val="0"/>
        <w:autoSpaceDN w:val="0"/>
        <w:adjustRightInd w:val="0"/>
        <w:spacing w:after="0" w:line="211"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84" w:lineRule="auto"/>
        <w:ind w:hanging="358"/>
        <w:jc w:val="both"/>
        <w:rPr>
          <w:rFonts w:ascii="Arial" w:hAnsi="Arial" w:cs="Arial"/>
          <w:color w:val="1F1A17"/>
          <w:lang w:val="en-US"/>
        </w:rPr>
      </w:pPr>
      <w:r>
        <w:rPr>
          <w:rFonts w:ascii="Arial" w:eastAsia="Arial" w:hAnsi="Arial" w:cs="Arial"/>
          <w:color w:val="1F1A17"/>
          <w:sz w:val="20"/>
          <w:szCs w:val="20"/>
        </w:rPr>
        <w:t xml:space="preserve">Hindistan Yenilenebilir Enerji Kalkınma Ajansı (IREDA) 2014-17'de ADB, JICA, AFD, KfW, EIB vb.'den 1,4 milyar USD'nin üzerinde kredi limitine sahiptir. </w:t>
      </w:r>
    </w:p>
    <w:p w:rsidR="00493D0A" w:rsidRPr="0087022D" w:rsidP="00493D0A">
      <w:pPr>
        <w:widowControl w:val="0"/>
        <w:autoSpaceDE w:val="0"/>
        <w:autoSpaceDN w:val="0"/>
        <w:adjustRightInd w:val="0"/>
        <w:spacing w:after="0" w:line="211"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79" w:lineRule="auto"/>
        <w:ind w:hanging="358"/>
        <w:jc w:val="both"/>
        <w:rPr>
          <w:rFonts w:ascii="Arial" w:hAnsi="Arial" w:cs="Arial"/>
          <w:color w:val="1F1A17"/>
          <w:lang w:val="en-US"/>
        </w:rPr>
      </w:pPr>
      <w:r>
        <w:rPr>
          <w:rFonts w:ascii="Arial" w:eastAsia="Arial" w:hAnsi="Arial" w:cs="Arial"/>
          <w:color w:val="1F1A17"/>
          <w:sz w:val="20"/>
          <w:szCs w:val="20"/>
        </w:rPr>
        <w:t xml:space="preserve">2013-17 boyunca Bankalar/Finans Kurumları eş-finansmanı için, 2 milyar USD civarında düşük maliyetli finansman Ulusal Temiz Enerji Fonu'ndan (NCEF) kullanılabilir kılınacaktır. </w:t>
      </w:r>
    </w:p>
    <w:p w:rsidR="00493D0A" w:rsidRPr="0087022D" w:rsidP="00493D0A">
      <w:pPr>
        <w:widowControl w:val="0"/>
        <w:autoSpaceDE w:val="0"/>
        <w:autoSpaceDN w:val="0"/>
        <w:adjustRightInd w:val="0"/>
        <w:spacing w:after="0" w:line="217"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84" w:lineRule="auto"/>
        <w:ind w:hanging="358"/>
        <w:jc w:val="both"/>
        <w:rPr>
          <w:rFonts w:ascii="Arial" w:hAnsi="Arial" w:cs="Arial"/>
          <w:color w:val="1F1A17"/>
          <w:lang w:val="en-US"/>
        </w:rPr>
      </w:pPr>
      <w:r>
        <w:rPr>
          <w:rFonts w:ascii="Arial" w:eastAsia="Arial" w:hAnsi="Arial" w:cs="Arial"/>
          <w:color w:val="1F1A17"/>
          <w:sz w:val="20"/>
          <w:szCs w:val="20"/>
        </w:rPr>
        <w:t xml:space="preserve">Rajasthan'ın son zamanlarda bildirilen Güneş Enerjisi Politikası, 2011, önerilen güneş enerjisi parklarında güneş üretim tesislerini kurmayı öngörmektedir. </w:t>
      </w:r>
    </w:p>
    <w:p w:rsidR="00493D0A" w:rsidRPr="0087022D" w:rsidP="00493D0A">
      <w:pPr>
        <w:widowControl w:val="0"/>
        <w:autoSpaceDE w:val="0"/>
        <w:autoSpaceDN w:val="0"/>
        <w:adjustRightInd w:val="0"/>
        <w:spacing w:after="0" w:line="211" w:lineRule="exact"/>
        <w:rPr>
          <w:rFonts w:ascii="Arial" w:hAnsi="Arial" w:cs="Arial"/>
          <w:color w:val="1F1A17"/>
          <w:lang w:val="en-US"/>
        </w:rPr>
      </w:pPr>
    </w:p>
    <w:p w:rsidR="00493D0A" w:rsidRPr="0087022D" w:rsidP="00493D0A">
      <w:pPr>
        <w:widowControl w:val="0"/>
        <w:numPr>
          <w:ilvl w:val="0"/>
          <w:numId w:val="28"/>
        </w:numPr>
        <w:tabs>
          <w:tab w:val="num" w:pos="710"/>
          <w:tab w:val="clear" w:pos="720"/>
        </w:tabs>
        <w:overflowPunct w:val="0"/>
        <w:autoSpaceDE w:val="0"/>
        <w:autoSpaceDN w:val="0"/>
        <w:adjustRightInd w:val="0"/>
        <w:spacing w:after="0" w:line="278" w:lineRule="auto"/>
        <w:ind w:hanging="358"/>
        <w:jc w:val="both"/>
        <w:rPr>
          <w:rFonts w:ascii="Arial" w:hAnsi="Arial" w:cs="Arial"/>
          <w:color w:val="1F1A17"/>
          <w:lang w:val="en-US"/>
        </w:rPr>
      </w:pPr>
      <w:r>
        <w:rPr>
          <w:rFonts w:ascii="Arial" w:eastAsia="Arial" w:hAnsi="Arial" w:cs="Arial"/>
          <w:color w:val="1F1A17"/>
          <w:sz w:val="20"/>
          <w:szCs w:val="20"/>
        </w:rPr>
        <w:t xml:space="preserve">Gujarat güneş enerjisi parkı yeterli tamir ve bakımın, park içerisindeki hizmet projelerine yeterli insan gücünün yanı sıra park içerisindeki projelere ekipman sağlamak için yerinde üretim tesislerini teşvik etmek amacıyla özel önlemler de almaktadır. </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84" w:lineRule="auto"/>
        <w:rPr>
          <w:rFonts w:ascii="Times New Roman" w:hAnsi="Times New Roman"/>
          <w:sz w:val="24"/>
          <w:szCs w:val="24"/>
          <w:lang w:val="en-US"/>
        </w:rPr>
      </w:pPr>
      <w:r>
        <w:rPr>
          <w:rFonts w:ascii="Arial" w:eastAsia="Arial" w:hAnsi="Arial" w:cs="Arial"/>
          <w:color w:val="1F1A17"/>
          <w:sz w:val="20"/>
          <w:szCs w:val="20"/>
        </w:rPr>
        <w:t>Otomatik rota altında %100'e kadar DYY'ye (doğrudan yabancı yatırım) 2003 Elektrik Yasası'nın hükümlerine tabi olan yenilenebilir enerji üretim ve dağıtım projelerinde izin verilmiştir.</w:t>
      </w:r>
    </w:p>
    <w:p w:rsidR="00493D0A" w:rsidRPr="0087022D" w:rsidP="00493D0A">
      <w:pPr>
        <w:widowControl w:val="0"/>
        <w:autoSpaceDE w:val="0"/>
        <w:autoSpaceDN w:val="0"/>
        <w:adjustRightInd w:val="0"/>
        <w:spacing w:after="0" w:line="211"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20"/>
          <w:szCs w:val="20"/>
        </w:rPr>
        <w:t>% 100'e kadar DYY'ye (Doğrudan Yabancı Yatırım) otomatik rotada şunun için izin verilmektedir:</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 xml:space="preserve">Petrol ve doğal gaz sahalarının arama faaliyetleri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için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880350" cy="9446895"/>
            <wp:effectExtent l="0" t="0" r="0" b="0"/>
            <wp:wrapNone/>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74675" name="Picture 173"/>
                    <pic:cNvPicPr>
                      <a:picLocks noChangeAspect="1" noChangeArrowheads="1"/>
                    </pic:cNvPicPr>
                  </pic:nvPicPr>
                  <pic:blipFill>
                    <a:blip xmlns:r="http://schemas.openxmlformats.org/officeDocument/2006/relationships" r:embed="rId5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Petrol ürünleri ve doğal gazın pazarlanması ile ilgili altyapı</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Doğal gaz ve petrol ürünlerinin pazarlanması</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 xml:space="preserve">Petrol ürün boru hatları </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 xml:space="preserve">Doğal gaz / boru hatları </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 xml:space="preserve">LNG yeniden gaza dönüştürme altyapısı </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Piyasa araştırma ve formülasyonu</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60"/>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 xml:space="preserve">Özel sektörde Petrol arıtma </w:t>
      </w:r>
    </w:p>
    <w:p w:rsidR="00493D0A" w:rsidRPr="0087022D" w:rsidP="00493D0A">
      <w:pPr>
        <w:widowControl w:val="0"/>
        <w:autoSpaceDE w:val="0"/>
        <w:autoSpaceDN w:val="0"/>
        <w:adjustRightInd w:val="0"/>
        <w:spacing w:after="0" w:line="267"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ind w:left="720" w:hanging="361"/>
        <w:jc w:val="both"/>
        <w:rPr>
          <w:rFonts w:ascii="Times New Roman" w:hAnsi="Times New Roman"/>
          <w:sz w:val="24"/>
          <w:szCs w:val="24"/>
          <w:lang w:val="en-US"/>
        </w:rPr>
      </w:pPr>
      <w:r>
        <w:rPr>
          <w:rFonts w:ascii="Wingdings" w:eastAsia="Wingdings" w:hAnsi="Wingdings" w:cs="Wingdings"/>
          <w:color w:val="1F1A17"/>
          <w:sz w:val="20"/>
        </w:rPr>
        <w:sym w:font="Wingdings" w:char="F0FC"/>
      </w:r>
      <w:r>
        <w:rPr>
          <w:rFonts w:ascii="Arial" w:eastAsia="Arial" w:hAnsi="Arial" w:cs="Arial"/>
          <w:color w:val="1F1A17"/>
          <w:sz w:val="20"/>
          <w:szCs w:val="20"/>
        </w:rPr>
        <w:t>DYY'ler (doğudan yabancı yatırım) petrol pazarlama sektöründeki mevcut sektörel politika ve düzenleyici çerçeveye ve hükümetin petrol keşfi üzerindeki özel katılıma ve ulusal petrol şirketlerinin keşfedilen sahalarına ilişkin politikasına tabidir.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%49'a kadar petrol rafinelerine DYY'ye, mevcut kamu sektörü girişimlerinde herhangi bir yatırım azalması olmadan veya yerli özkaynaklar eksilmeden, kamu sektörü girişimleri tarafından otomatik rota altında izin veril</w:t>
      </w:r>
      <w:r w:rsidR="003B02C6">
        <w:rPr>
          <w:rFonts w:ascii="Arial" w:eastAsia="Arial" w:hAnsi="Arial" w:cs="Arial"/>
          <w:color w:val="1F1A17"/>
          <w:sz w:val="20"/>
          <w:szCs w:val="20"/>
        </w:rPr>
        <w:t>mekted</w:t>
      </w:r>
      <w:r>
        <w:rPr>
          <w:rFonts w:ascii="Arial" w:eastAsia="Arial" w:hAnsi="Arial" w:cs="Arial"/>
          <w:color w:val="1F1A17"/>
          <w:sz w:val="20"/>
          <w:szCs w:val="20"/>
        </w:rPr>
        <w:t xml:space="preserve">ir. Bu, kamu şirketinin rafineri iş kurmak için yeni bir iş ortaklığına </w:t>
      </w:r>
      <w:r w:rsidR="003A2816">
        <w:rPr>
          <w:rFonts w:ascii="Arial" w:eastAsia="Arial" w:hAnsi="Arial" w:cs="Arial"/>
          <w:color w:val="1F1A17"/>
          <w:sz w:val="20"/>
          <w:szCs w:val="20"/>
        </w:rPr>
        <w:t>dâhil</w:t>
      </w:r>
      <w:r>
        <w:rPr>
          <w:rFonts w:ascii="Arial" w:eastAsia="Arial" w:hAnsi="Arial" w:cs="Arial"/>
          <w:color w:val="1F1A17"/>
          <w:sz w:val="20"/>
          <w:szCs w:val="20"/>
        </w:rPr>
        <w:t xml:space="preserve"> olduğu anlamına gel</w:t>
      </w:r>
      <w:r w:rsidR="003B02C6">
        <w:rPr>
          <w:rFonts w:ascii="Arial" w:eastAsia="Arial" w:hAnsi="Arial" w:cs="Arial"/>
          <w:color w:val="1F1A17"/>
          <w:sz w:val="20"/>
          <w:szCs w:val="20"/>
        </w:rPr>
        <w:t>mekted</w:t>
      </w:r>
      <w:r>
        <w:rPr>
          <w:rFonts w:ascii="Arial" w:eastAsia="Arial" w:hAnsi="Arial" w:cs="Arial"/>
          <w:color w:val="1F1A17"/>
          <w:sz w:val="20"/>
          <w:szCs w:val="20"/>
        </w:rPr>
        <w:t>ir.</w:t>
      </w:r>
    </w:p>
    <w:p w:rsidR="00493D0A" w:rsidRPr="0087022D" w:rsidP="00493D0A">
      <w:pPr>
        <w:widowControl w:val="0"/>
        <w:autoSpaceDE w:val="0"/>
        <w:autoSpaceDN w:val="0"/>
        <w:adjustRightInd w:val="0"/>
        <w:spacing w:after="0" w:line="14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0A408A"/>
          <w:sz w:val="30"/>
          <w:szCs w:val="30"/>
        </w:rPr>
        <w:t xml:space="preserve">Madencilik Sektörü </w:t>
      </w:r>
    </w:p>
    <w:p w:rsidR="00493D0A" w:rsidRPr="0087022D" w:rsidP="00493D0A">
      <w:pPr>
        <w:widowControl w:val="0"/>
        <w:autoSpaceDE w:val="0"/>
        <w:autoSpaceDN w:val="0"/>
        <w:adjustRightInd w:val="0"/>
        <w:spacing w:after="0" w:line="21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Türkiye </w:t>
      </w:r>
    </w:p>
    <w:p w:rsidR="00493D0A" w:rsidRPr="0087022D" w:rsidP="00493D0A">
      <w:pPr>
        <w:widowControl w:val="0"/>
        <w:autoSpaceDE w:val="0"/>
        <w:autoSpaceDN w:val="0"/>
        <w:adjustRightInd w:val="0"/>
        <w:spacing w:after="0" w:line="2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Türkiye'nin madencilik sektörü, ülkenin güçlü ekonomisi ile paralel olarak büyümüştür.  Sektörün toplam üretim değeri 2003 yılında </w:t>
      </w:r>
      <w:r w:rsidR="003A2816">
        <w:rPr>
          <w:rFonts w:ascii="Arial" w:eastAsia="Arial" w:hAnsi="Arial" w:cs="Arial"/>
          <w:color w:val="1F1A17"/>
          <w:sz w:val="20"/>
          <w:szCs w:val="20"/>
        </w:rPr>
        <w:t>2,6</w:t>
      </w:r>
      <w:r>
        <w:rPr>
          <w:rFonts w:ascii="Arial" w:eastAsia="Arial" w:hAnsi="Arial" w:cs="Arial"/>
          <w:color w:val="1F1A17"/>
          <w:sz w:val="20"/>
          <w:szCs w:val="20"/>
        </w:rPr>
        <w:t xml:space="preserve"> milyar dolardan, 2012 yılında 12 milyar dolara yükselmiştir. Türkiye maden zenginliği açısından dünyanın 10'uncu sırasında olmasına rağmen, dünya maden üretiminde 28'inci sıradadır. Türkiye zengin maden kaynaklarına sahiptir, ancak 1940'larda GSYİH'nin %40'ını oluşturduğu zamandan beri madenciliğin ülkenin ekonomik hayatındaki önemi giderek düşmüştür. 2008 yılında, GSYİH'nin sadece %1.37'sini oluşturuyordu. Türk hükümeti, özel ve yabancı yatırımı teşvik ederek, madenciliği canlandırmak için çalışmaktadır.</w:t>
      </w:r>
    </w:p>
    <w:p w:rsidR="00493D0A" w:rsidRPr="0087022D" w:rsidP="00493D0A">
      <w:pPr>
        <w:widowControl w:val="0"/>
        <w:autoSpaceDE w:val="0"/>
        <w:autoSpaceDN w:val="0"/>
        <w:adjustRightInd w:val="0"/>
        <w:spacing w:after="0" w:line="222"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49" w:lineRule="auto"/>
        <w:jc w:val="both"/>
        <w:rPr>
          <w:rFonts w:ascii="Times New Roman" w:hAnsi="Times New Roman"/>
          <w:sz w:val="24"/>
          <w:szCs w:val="24"/>
          <w:lang w:val="en-US"/>
        </w:rPr>
      </w:pPr>
      <w:r>
        <w:rPr>
          <w:rFonts w:ascii="Arial" w:eastAsia="Arial" w:hAnsi="Arial" w:cs="Arial"/>
          <w:color w:val="1F1A17"/>
          <w:sz w:val="20"/>
          <w:szCs w:val="20"/>
        </w:rPr>
        <w:t>Türkiye, doğuda Elazığ'daki kromat madenleri ve Ege kıyısında Muğla'da Antalya Akdeniz tatil kentinde mode</w:t>
      </w:r>
      <w:r w:rsidR="003A2816">
        <w:rPr>
          <w:rFonts w:ascii="Arial" w:eastAsia="Arial" w:hAnsi="Arial" w:cs="Arial"/>
          <w:color w:val="1F1A17"/>
          <w:sz w:val="20"/>
          <w:szCs w:val="20"/>
        </w:rPr>
        <w:t>rn bir ferrokrom kompleksi de dâ</w:t>
      </w:r>
      <w:r>
        <w:rPr>
          <w:rFonts w:ascii="Arial" w:eastAsia="Arial" w:hAnsi="Arial" w:cs="Arial"/>
          <w:color w:val="1F1A17"/>
          <w:sz w:val="20"/>
          <w:szCs w:val="20"/>
        </w:rPr>
        <w:t>hil olmak üzere Eti Maden'e ait maden ve maden işleme tesislerinin çoğunu özelleştirmiş veya kiralamıştır. Aynı zamanda Seydişehir'de, Türkiye'nin merkezinde, bir alüminyum kompleksindeki hisselerini de satmıştır.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88"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2032" behindDoc="1" locked="0" layoutInCell="0" allowOverlap="1">
            <wp:simplePos x="0" y="0"/>
            <wp:positionH relativeFrom="page">
              <wp:posOffset>0</wp:posOffset>
            </wp:positionH>
            <wp:positionV relativeFrom="page">
              <wp:posOffset>377190</wp:posOffset>
            </wp:positionV>
            <wp:extent cx="7880350" cy="9897110"/>
            <wp:effectExtent l="0" t="0" r="0" b="0"/>
            <wp:wrapNone/>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3985" name="Picture 174"/>
                    <pic:cNvPicPr>
                      <a:picLocks noChangeAspect="1" noChangeArrowheads="1"/>
                    </pic:cNvPicPr>
                  </pic:nvPicPr>
                  <pic:blipFill>
                    <a:blip xmlns:r="http://schemas.openxmlformats.org/officeDocument/2006/relationships" r:embed="rId5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Türkiye'de yaklaşık 710 bilinen kromit yatağı bulunmaktadır. Ülke ayrıca, metal endüstrisinde kullanılan bir metal elementi olan Bor rezervlerine sahiptir. Bor bileşikleri, aynı zamanda, cam, deterjan, seramik, </w:t>
      </w:r>
      <w:r w:rsidR="003A2816">
        <w:rPr>
          <w:rFonts w:ascii="Arial" w:eastAsia="Arial" w:hAnsi="Arial" w:cs="Arial"/>
          <w:color w:val="1F1A17"/>
          <w:sz w:val="20"/>
          <w:szCs w:val="20"/>
        </w:rPr>
        <w:t>kâğıt</w:t>
      </w:r>
      <w:r>
        <w:rPr>
          <w:rFonts w:ascii="Arial" w:eastAsia="Arial" w:hAnsi="Arial" w:cs="Arial"/>
          <w:color w:val="1F1A17"/>
          <w:sz w:val="20"/>
          <w:szCs w:val="20"/>
        </w:rPr>
        <w:t>, plastik, deri imalatında da kullanılmaktadır. Bazı Türk araştırmacılar sıfır emisyonlu hidrojen enerjisi yani sonunda fosil yakıtların yerini alacak 21. yy enerjisini üretmek için Bor bileşikleri deneylerini paylaşmaktadır.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Ülke aynı zamanda büyük demir cevheri, boksit, lületaşı, Wolfram, manganez, civa, çinko, manyetit, perlit, cinnabar ve zımpara rezervlerine sahiptir. Petrol ve kömür kaynakları haricinde, ülkede yaklaşık 4.400 maden yatağı vardır. Mineral ve kayaçların 53 çeşidi ticari amaçla Türkiye'de çıkartılmaktadır. Ülke başlıca bor mineralleri, doğal taş (mermer, traverten, granit), manyetit, krom cevherleri ve konsantreleri, bakır ve konsantreleri, feldspat, çinko cevherleri, ponza taşı, kaolin, barit ve diğer killer ve perlit ihraç etmektedir.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2010 yılında, Türkiye'nin toplam maden ve metal ihracatı Türk İhracatçılar Meclisi'ne (TYM) göre, ülkenin toplam dış satışının %</w:t>
      </w:r>
      <w:r w:rsidR="003A2816">
        <w:rPr>
          <w:rFonts w:ascii="Arial" w:eastAsia="Arial" w:hAnsi="Arial" w:cs="Arial"/>
          <w:color w:val="1F1A17"/>
          <w:sz w:val="20"/>
          <w:szCs w:val="20"/>
        </w:rPr>
        <w:t>3,2’sini</w:t>
      </w:r>
      <w:r>
        <w:rPr>
          <w:rFonts w:ascii="Arial" w:eastAsia="Arial" w:hAnsi="Arial" w:cs="Arial"/>
          <w:color w:val="1F1A17"/>
          <w:sz w:val="20"/>
          <w:szCs w:val="20"/>
        </w:rPr>
        <w:t xml:space="preserve"> oluşturarak, 3.6</w:t>
      </w:r>
      <w:r w:rsidR="003B02C6">
        <w:rPr>
          <w:rFonts w:ascii="Arial" w:eastAsia="Arial" w:hAnsi="Arial" w:cs="Arial"/>
          <w:color w:val="1F1A17"/>
          <w:sz w:val="20"/>
          <w:szCs w:val="20"/>
        </w:rPr>
        <w:t>08 milyar USD olarak gerçekleşmiştir</w:t>
      </w:r>
      <w:r>
        <w:rPr>
          <w:rFonts w:ascii="Arial" w:eastAsia="Arial" w:hAnsi="Arial" w:cs="Arial"/>
          <w:color w:val="1F1A17"/>
          <w:sz w:val="20"/>
          <w:szCs w:val="20"/>
        </w:rPr>
        <w:t>. Türkiye'nin ithalat yaptığı en büyük mineral ve metal ithalatçıları Birleşik Devletler, İtalya, Japonya, Avusturya, Çin, Almanya, Belçika, İngiltere, Hollanda, İspanya, Norveç, Fransa, Rusya, Güney Kore ve Ukrayna'dır.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Tetis-Avrasya Metalojenik Kuşağının konumu </w:t>
      </w:r>
      <w:r w:rsidR="003A2816">
        <w:rPr>
          <w:rFonts w:ascii="Arial" w:eastAsia="Arial" w:hAnsi="Arial" w:cs="Arial"/>
          <w:color w:val="1F1A17"/>
          <w:sz w:val="20"/>
          <w:szCs w:val="20"/>
        </w:rPr>
        <w:t>ile</w:t>
      </w:r>
      <w:r>
        <w:rPr>
          <w:rFonts w:ascii="Arial" w:eastAsia="Arial" w:hAnsi="Arial" w:cs="Arial"/>
          <w:color w:val="1F1A17"/>
          <w:sz w:val="20"/>
          <w:szCs w:val="20"/>
        </w:rPr>
        <w:t xml:space="preserve"> Türkiye üzerinden Güney-Doğu Avrupa Alpleri aracılığıyla Batı Akdeniz'e, Küçük Kafkaslar, </w:t>
      </w:r>
      <w:r w:rsidR="003A2816">
        <w:rPr>
          <w:rFonts w:ascii="Arial" w:eastAsia="Arial" w:hAnsi="Arial" w:cs="Arial"/>
          <w:color w:val="1F1A17"/>
          <w:sz w:val="20"/>
          <w:szCs w:val="20"/>
        </w:rPr>
        <w:t>İran</w:t>
      </w:r>
      <w:r>
        <w:rPr>
          <w:rFonts w:ascii="Arial" w:eastAsia="Arial" w:hAnsi="Arial" w:cs="Arial"/>
          <w:color w:val="1F1A17"/>
          <w:sz w:val="20"/>
          <w:szCs w:val="20"/>
        </w:rPr>
        <w:t xml:space="preserve"> ve Himalayalar'dan Çin'e uzanan belirli bir tür ofiyolit sebebiyle Türkiye Madencilik yatırımcıları için kanıtlanmış bir yüksek potansiyel barındırmaktadır. Kemerin en az araştırılan kısmı olarak, Türkiye madenciler ve </w:t>
      </w:r>
      <w:r w:rsidR="003A2816">
        <w:rPr>
          <w:rFonts w:ascii="Arial" w:eastAsia="Arial" w:hAnsi="Arial" w:cs="Arial"/>
          <w:color w:val="1F1A17"/>
          <w:sz w:val="20"/>
          <w:szCs w:val="20"/>
        </w:rPr>
        <w:t>kâşifler</w:t>
      </w:r>
      <w:r>
        <w:rPr>
          <w:rFonts w:ascii="Arial" w:eastAsia="Arial" w:hAnsi="Arial" w:cs="Arial"/>
          <w:color w:val="1F1A17"/>
          <w:sz w:val="20"/>
          <w:szCs w:val="20"/>
        </w:rPr>
        <w:t xml:space="preserve"> için çok umut verici bir bölge olarak öne çıkmaktadır. Türkiye'de madencilik yüzey kazısı ile sınırlı kaldığından derin sondajda büyük bir potansiyel uluslararası yatırımcıları beklemektedir.</w:t>
      </w:r>
    </w:p>
    <w:p w:rsidR="00493D0A" w:rsidRPr="0087022D" w:rsidP="00493D0A">
      <w:pPr>
        <w:widowControl w:val="0"/>
        <w:autoSpaceDE w:val="0"/>
        <w:autoSpaceDN w:val="0"/>
        <w:adjustRightInd w:val="0"/>
        <w:spacing w:after="0" w:line="18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Hindistan </w:t>
      </w:r>
    </w:p>
    <w:p w:rsidR="00493D0A" w:rsidRPr="0087022D" w:rsidP="00493D0A">
      <w:pPr>
        <w:widowControl w:val="0"/>
        <w:autoSpaceDE w:val="0"/>
        <w:autoSpaceDN w:val="0"/>
        <w:adjustRightInd w:val="0"/>
        <w:spacing w:after="0" w:line="2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Hindistan 88 mineral (4 yakıt, 10 metalik, 50 metalik olmayan ve 24 küçük mineral) üretmektedir. 2012-13 yılında, Hindistan'da işleyen maden sayısı (küçük mineraller, petrol (ham), doğal gaz ve atomik mineraller hariç) 3108'di. 2011-12'de Hindistan'ın maden üretimi </w:t>
      </w:r>
      <w:r w:rsidR="003A2816">
        <w:rPr>
          <w:rFonts w:ascii="Arial" w:eastAsia="Arial" w:hAnsi="Arial" w:cs="Arial"/>
          <w:color w:val="1F1A17"/>
          <w:sz w:val="20"/>
          <w:szCs w:val="20"/>
        </w:rPr>
        <w:t>13,4</w:t>
      </w:r>
      <w:r>
        <w:rPr>
          <w:rFonts w:ascii="Arial" w:eastAsia="Arial" w:hAnsi="Arial" w:cs="Arial"/>
          <w:color w:val="1F1A17"/>
          <w:sz w:val="20"/>
          <w:szCs w:val="20"/>
        </w:rPr>
        <w:t xml:space="preserve"> milyar USD civarında olmuştur.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Hindistan'ın 2015 yılına 2. en büyük çelik üreticisi olması planlanmaktadır. Ham çelik üretimi 2008-11 arasında yüzde </w:t>
      </w:r>
      <w:r w:rsidR="003A2816">
        <w:rPr>
          <w:rFonts w:ascii="Arial" w:eastAsia="Arial" w:hAnsi="Arial" w:cs="Arial"/>
          <w:color w:val="1F1A17"/>
          <w:sz w:val="20"/>
          <w:szCs w:val="20"/>
        </w:rPr>
        <w:t>8,2’lik</w:t>
      </w:r>
      <w:r>
        <w:rPr>
          <w:rFonts w:ascii="Arial" w:eastAsia="Arial" w:hAnsi="Arial" w:cs="Arial"/>
          <w:color w:val="1F1A17"/>
          <w:sz w:val="20"/>
          <w:szCs w:val="20"/>
        </w:rPr>
        <w:t xml:space="preserve"> yıllık bileşik büyüme oranıyla artarak 70.67 milyon metrik tona ulaşmıştır. Hindistan'ın büyük maden potansiyeli, en az 20 yıllık uzun bir süre için ve 30 yıla kadar verilen madencilik kirasına sahiptir. Çeşitli metal ve mineraller için talep önümüzdeki 15 yıl içinde önemli ölçüde artacak</w:t>
      </w:r>
      <w:r w:rsidR="003B02C6">
        <w:rPr>
          <w:rFonts w:ascii="Arial" w:eastAsia="Arial" w:hAnsi="Arial" w:cs="Arial"/>
          <w:color w:val="1F1A17"/>
          <w:sz w:val="20"/>
          <w:szCs w:val="20"/>
        </w:rPr>
        <w:t>tır</w:t>
      </w:r>
      <w:r>
        <w:rPr>
          <w:rFonts w:ascii="Arial" w:eastAsia="Arial" w:hAnsi="Arial" w:cs="Arial"/>
          <w:color w:val="1F1A17"/>
          <w:sz w:val="20"/>
          <w:szCs w:val="20"/>
        </w:rPr>
        <w:t>. Enerji ve çimento endüstrileri de metal ve madencilik sektöründe büyümeye yardım etmektedir.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88"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Ticareti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7880350" cy="9446895"/>
            <wp:effectExtent l="0" t="0" r="0" b="0"/>
            <wp:wrapNone/>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50117" name="Picture 175"/>
                    <pic:cNvPicPr>
                      <a:picLocks noChangeAspect="1" noChangeArrowheads="1"/>
                    </pic:cNvPicPr>
                  </pic:nvPicPr>
                  <pic:blipFill>
                    <a:blip xmlns:r="http://schemas.openxmlformats.org/officeDocument/2006/relationships" r:embed="rId5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Hindistan'ın stratejik konumu uygun ihracat ortamı sağlamaktadır. Hindistan'ın kişi başına düşen çelik tüketimi dünya ortalamasının çok altındadır.  Hindistan dünyanın 6. en büyük boksit rezerv tabanına ve 5. en büyük demir cevheri tabanına sahiptir ve sırasıyla toplam dünya üretiminin yaklaşık %5 ve %8'ini oluşturmaktadır.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Hint ekonomisinin gelecek yıllarda yaklaşık %7 oranında büyümesi beklenirken, altyapı ve otomobil gibi sektörler ülkede daha sonra enerji ve çelik talebi yaratacak şekilde yeniden ivme kazanacaktır. Bunun kömür ve demir cevheri gibi minerallerin talebine büy</w:t>
      </w:r>
      <w:r w:rsidR="003B02C6">
        <w:rPr>
          <w:rFonts w:ascii="Arial" w:eastAsia="Arial" w:hAnsi="Arial" w:cs="Arial"/>
          <w:color w:val="1F1A17"/>
          <w:sz w:val="20"/>
          <w:szCs w:val="20"/>
        </w:rPr>
        <w:t>ük bir ivme sağlaması beklenmektedir</w:t>
      </w:r>
      <w:r>
        <w:rPr>
          <w:rFonts w:ascii="Arial" w:eastAsia="Arial" w:hAnsi="Arial" w:cs="Arial"/>
          <w:color w:val="1F1A17"/>
          <w:sz w:val="20"/>
          <w:szCs w:val="20"/>
        </w:rPr>
        <w:t>.</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Manganez, kurşun, bakır ve alüminyum gibi minerallerin önümüzdeki yıllarda önemli büyümelere tanık olması beklenmektedir. Demir cevheri, boksit ve kömürdeki yeni maden kapasitelerinde önemli miktarda olanak bulunmaktadır. Hindistan çelik ve alüminyum üretim ve dönüşüm maliyetlerinde iyi bir avantaja sahiptir. Hindistan'ın otomotiv sektöründeki sürekli büyüme çelik ve alüminyuma olan talebi zorlamaktadır.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Enerji sektörü ülkedeki alüminyum ve kömür tüketiminin büyük bir kısmını oluşturmaktadır. Altyapı projeleri çelik, çinko ve alüminyum üreticileri için karlı iş fırsatları sunmaya devam etmektedir. Gayrimenkul sektörünün temel bir bileşeni olan demir ve çelik için talep, konut ve ticari bina endüstrisi için güçlü büyüme beklentileri ile birlikte, sürecektir.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Hindistan 2014 Nisan'ında 301.564.000.000 ton kömür kaynağına sahiptir. Kömür üretimi FY12 ve FY132'te </w:t>
      </w:r>
      <w:r w:rsidR="003A2816">
        <w:rPr>
          <w:rFonts w:ascii="Arial" w:eastAsia="Arial" w:hAnsi="Arial" w:cs="Arial"/>
          <w:color w:val="1F1A17"/>
          <w:sz w:val="20"/>
          <w:szCs w:val="20"/>
        </w:rPr>
        <w:t>sırasıyla 540</w:t>
      </w:r>
      <w:r>
        <w:rPr>
          <w:rFonts w:ascii="Arial" w:eastAsia="Arial" w:hAnsi="Arial" w:cs="Arial"/>
          <w:color w:val="1F1A17"/>
          <w:sz w:val="20"/>
          <w:szCs w:val="20"/>
        </w:rPr>
        <w:t xml:space="preserve"> milyon ton ve 557.700.000 ton olarak gerçekleşmiştir. Hindistan demir cevheri üretimi açısından dünya sıralamasında 4. sırada yer almaktadır. FY13'te, ülke 136.020.000 ton demir cevheri üretmiştir.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%100'e kadar DYY'ye elmas ve değerli taşlar da </w:t>
      </w:r>
      <w:r w:rsidR="003A2816">
        <w:rPr>
          <w:rFonts w:ascii="Arial" w:eastAsia="Arial" w:hAnsi="Arial" w:cs="Arial"/>
          <w:color w:val="1F1A17"/>
          <w:sz w:val="20"/>
          <w:szCs w:val="20"/>
        </w:rPr>
        <w:t>dâhil</w:t>
      </w:r>
      <w:r>
        <w:rPr>
          <w:rFonts w:ascii="Arial" w:eastAsia="Arial" w:hAnsi="Arial" w:cs="Arial"/>
          <w:color w:val="1F1A17"/>
          <w:sz w:val="20"/>
          <w:szCs w:val="20"/>
        </w:rPr>
        <w:t xml:space="preserve"> olmak üzere tüm akaryakıt dışı ve atomik olmayan mineraller için otomatik rota altında keşif, madencilik, maden işleme ve metalurjide izin verilmektedir.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 Titanyum taşıyan mineraller ve cevherlerin kazılması ve mineral ayrılması, değerinin eklenmesi ve entegre faaliyetleri hükümetin belirlediği şekilde olur. Kömür madenciliğinde DYY'ye (Doğrudan Yabancı Dış Yatırım) sadece şirket tüketimi için izin verilir.</w:t>
      </w:r>
    </w:p>
    <w:p w:rsidR="00493D0A" w:rsidRPr="0087022D" w:rsidP="00493D0A">
      <w:pPr>
        <w:widowControl w:val="0"/>
        <w:autoSpaceDE w:val="0"/>
        <w:autoSpaceDN w:val="0"/>
        <w:adjustRightInd w:val="0"/>
        <w:spacing w:after="0" w:line="16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Hindistan'daki yabancı yatırımcılar</w:t>
      </w:r>
    </w:p>
    <w:p w:rsidR="00493D0A" w:rsidRPr="0087022D" w:rsidP="00493D0A">
      <w:pPr>
        <w:widowControl w:val="0"/>
        <w:autoSpaceDE w:val="0"/>
        <w:autoSpaceDN w:val="0"/>
        <w:adjustRightInd w:val="0"/>
        <w:spacing w:after="0" w:line="26"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3860"/>
        <w:gridCol w:w="4060"/>
      </w:tblGrid>
      <w:tr w:rsidTr="00036A52">
        <w:tblPrEx>
          <w:tblW w:w="0" w:type="auto"/>
          <w:tblLayout w:type="fixed"/>
          <w:tblCellMar>
            <w:left w:w="0" w:type="dxa"/>
            <w:right w:w="0" w:type="dxa"/>
          </w:tblCellMar>
          <w:tblLook w:val="0000"/>
        </w:tblPrEx>
        <w:trPr>
          <w:trHeight w:val="336"/>
        </w:trPr>
        <w:tc>
          <w:tcPr>
            <w:tcW w:w="38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Rio Tinto, Avustralya </w:t>
            </w:r>
          </w:p>
        </w:tc>
        <w:tc>
          <w:tcPr>
            <w:tcW w:w="40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760"/>
              <w:rPr>
                <w:rFonts w:ascii="Times New Roman" w:hAnsi="Times New Roman"/>
                <w:sz w:val="24"/>
                <w:szCs w:val="24"/>
                <w:lang w:val="en-US"/>
              </w:rPr>
            </w:pPr>
            <w:r>
              <w:rPr>
                <w:rFonts w:ascii="Arial" w:eastAsia="Arial" w:hAnsi="Arial" w:cs="Arial"/>
                <w:color w:val="1F1A17"/>
                <w:sz w:val="18"/>
                <w:szCs w:val="18"/>
              </w:rPr>
              <w:t xml:space="preserve">BHP Billiton, Avustralya </w:t>
            </w:r>
          </w:p>
        </w:tc>
      </w:tr>
      <w:tr w:rsidTr="00036A52">
        <w:tblPrEx>
          <w:tblW w:w="0" w:type="auto"/>
          <w:tblLayout w:type="fixed"/>
          <w:tblCellMar>
            <w:left w:w="0" w:type="dxa"/>
            <w:right w:w="0" w:type="dxa"/>
          </w:tblCellMar>
          <w:tblLook w:val="0000"/>
        </w:tblPrEx>
        <w:trPr>
          <w:trHeight w:val="20"/>
        </w:trPr>
        <w:tc>
          <w:tcPr>
            <w:tcW w:w="38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98"/>
        </w:trPr>
        <w:tc>
          <w:tcPr>
            <w:tcW w:w="38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Hint Resources Limited, Avustralya </w:t>
            </w:r>
          </w:p>
        </w:tc>
        <w:tc>
          <w:tcPr>
            <w:tcW w:w="40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760"/>
              <w:rPr>
                <w:rFonts w:ascii="Times New Roman" w:hAnsi="Times New Roman"/>
                <w:sz w:val="24"/>
                <w:szCs w:val="24"/>
                <w:lang w:val="en-US"/>
              </w:rPr>
            </w:pPr>
            <w:r>
              <w:rPr>
                <w:rFonts w:ascii="Arial" w:eastAsia="Arial" w:hAnsi="Arial" w:cs="Arial"/>
                <w:color w:val="1F1A17"/>
                <w:sz w:val="18"/>
                <w:szCs w:val="18"/>
              </w:rPr>
              <w:t xml:space="preserve">VedantaResources, İngiltere </w:t>
            </w:r>
          </w:p>
        </w:tc>
      </w:tr>
      <w:tr w:rsidTr="00036A52">
        <w:tblPrEx>
          <w:tblW w:w="0" w:type="auto"/>
          <w:tblLayout w:type="fixed"/>
          <w:tblCellMar>
            <w:left w:w="0" w:type="dxa"/>
            <w:right w:w="0" w:type="dxa"/>
          </w:tblCellMar>
          <w:tblLook w:val="0000"/>
        </w:tblPrEx>
        <w:trPr>
          <w:trHeight w:val="39"/>
        </w:trPr>
        <w:tc>
          <w:tcPr>
            <w:tcW w:w="38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40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r>
      <w:tr w:rsidTr="00036A52">
        <w:tblPrEx>
          <w:tblW w:w="0" w:type="auto"/>
          <w:tblLayout w:type="fixed"/>
          <w:tblCellMar>
            <w:left w:w="0" w:type="dxa"/>
            <w:right w:w="0" w:type="dxa"/>
          </w:tblCellMar>
          <w:tblLook w:val="0000"/>
        </w:tblPrEx>
        <w:trPr>
          <w:trHeight w:val="336"/>
        </w:trPr>
        <w:tc>
          <w:tcPr>
            <w:tcW w:w="38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AustralianIndianResources, Avustralya</w:t>
            </w:r>
          </w:p>
        </w:tc>
        <w:tc>
          <w:tcPr>
            <w:tcW w:w="40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760"/>
              <w:rPr>
                <w:rFonts w:ascii="Times New Roman" w:hAnsi="Times New Roman"/>
                <w:sz w:val="24"/>
                <w:szCs w:val="24"/>
                <w:lang w:val="en-US"/>
              </w:rPr>
            </w:pPr>
            <w:r>
              <w:rPr>
                <w:rFonts w:ascii="Arial" w:eastAsia="Arial" w:hAnsi="Arial" w:cs="Arial"/>
                <w:color w:val="1F1A17"/>
                <w:sz w:val="18"/>
                <w:szCs w:val="18"/>
              </w:rPr>
              <w:t xml:space="preserve">JFE Steel Corp, Japonya </w:t>
            </w:r>
          </w:p>
        </w:tc>
      </w:tr>
      <w:tr w:rsidTr="00036A52">
        <w:tblPrEx>
          <w:tblW w:w="0" w:type="auto"/>
          <w:tblLayout w:type="fixed"/>
          <w:tblCellMar>
            <w:left w:w="0" w:type="dxa"/>
            <w:right w:w="0" w:type="dxa"/>
          </w:tblCellMar>
          <w:tblLook w:val="0000"/>
        </w:tblPrEx>
        <w:trPr>
          <w:trHeight w:val="305"/>
        </w:trPr>
        <w:tc>
          <w:tcPr>
            <w:tcW w:w="38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NSL Consolidated, Avustralya</w:t>
            </w:r>
          </w:p>
        </w:tc>
        <w:tc>
          <w:tcPr>
            <w:tcW w:w="40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760"/>
              <w:rPr>
                <w:rFonts w:ascii="Times New Roman" w:hAnsi="Times New Roman"/>
                <w:sz w:val="24"/>
                <w:szCs w:val="24"/>
                <w:lang w:val="en-US"/>
              </w:rPr>
            </w:pPr>
            <w:r>
              <w:rPr>
                <w:rFonts w:ascii="Arial" w:eastAsia="Arial" w:hAnsi="Arial" w:cs="Arial"/>
                <w:color w:val="1F1A17"/>
                <w:sz w:val="18"/>
                <w:szCs w:val="18"/>
              </w:rPr>
              <w:t>China Steel Corporation,</w:t>
            </w:r>
          </w:p>
        </w:tc>
      </w:tr>
      <w:tr w:rsidTr="00036A52">
        <w:tblPrEx>
          <w:tblW w:w="0" w:type="auto"/>
          <w:tblLayout w:type="fixed"/>
          <w:tblCellMar>
            <w:left w:w="0" w:type="dxa"/>
            <w:right w:w="0" w:type="dxa"/>
          </w:tblCellMar>
          <w:tblLook w:val="0000"/>
        </w:tblPrEx>
        <w:trPr>
          <w:trHeight w:val="52"/>
        </w:trPr>
        <w:tc>
          <w:tcPr>
            <w:tcW w:w="38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40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r w:rsidTr="00036A52">
        <w:tblPrEx>
          <w:tblW w:w="0" w:type="auto"/>
          <w:tblLayout w:type="fixed"/>
          <w:tblCellMar>
            <w:left w:w="0" w:type="dxa"/>
            <w:right w:w="0" w:type="dxa"/>
          </w:tblCellMar>
          <w:tblLook w:val="0000"/>
        </w:tblPrEx>
        <w:trPr>
          <w:trHeight w:val="298"/>
        </w:trPr>
        <w:tc>
          <w:tcPr>
            <w:tcW w:w="38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Kolar Gold, Guernsey</w:t>
            </w:r>
          </w:p>
        </w:tc>
        <w:tc>
          <w:tcPr>
            <w:tcW w:w="40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p>
        </w:tc>
      </w:tr>
      <w:tr w:rsidTr="00036A52">
        <w:tblPrEx>
          <w:tblW w:w="0" w:type="auto"/>
          <w:tblLayout w:type="fixed"/>
          <w:tblCellMar>
            <w:left w:w="0" w:type="dxa"/>
            <w:right w:w="0" w:type="dxa"/>
          </w:tblCellMar>
          <w:tblLook w:val="0000"/>
        </w:tblPrEx>
        <w:trPr>
          <w:trHeight w:val="58"/>
        </w:trPr>
        <w:tc>
          <w:tcPr>
            <w:tcW w:w="38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bl>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1"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4080" behindDoc="1" locked="0" layoutInCell="0" allowOverlap="1">
            <wp:simplePos x="0" y="0"/>
            <wp:positionH relativeFrom="page">
              <wp:posOffset>0</wp:posOffset>
            </wp:positionH>
            <wp:positionV relativeFrom="page">
              <wp:posOffset>377190</wp:posOffset>
            </wp:positionV>
            <wp:extent cx="7880350" cy="9897110"/>
            <wp:effectExtent l="0" t="0" r="0" b="0"/>
            <wp:wrapNone/>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6164" name="Picture 176"/>
                    <pic:cNvPicPr>
                      <a:picLocks noChangeAspect="1" noChangeArrowheads="1"/>
                    </pic:cNvPicPr>
                  </pic:nvPicPr>
                  <pic:blipFill>
                    <a:blip xmlns:r="http://schemas.openxmlformats.org/officeDocument/2006/relationships" r:embed="rId5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51"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0A408A"/>
          <w:sz w:val="30"/>
          <w:szCs w:val="30"/>
        </w:rPr>
        <w:t xml:space="preserve">Sağlık Sektörü </w:t>
      </w:r>
    </w:p>
    <w:p w:rsidR="00493D0A" w:rsidRPr="0087022D" w:rsidP="00493D0A">
      <w:pPr>
        <w:widowControl w:val="0"/>
        <w:autoSpaceDE w:val="0"/>
        <w:autoSpaceDN w:val="0"/>
        <w:adjustRightInd w:val="0"/>
        <w:spacing w:after="0" w:line="21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Türkiye </w:t>
      </w:r>
    </w:p>
    <w:p w:rsidR="00493D0A" w:rsidRPr="0087022D" w:rsidP="00493D0A">
      <w:pPr>
        <w:widowControl w:val="0"/>
        <w:autoSpaceDE w:val="0"/>
        <w:autoSpaceDN w:val="0"/>
        <w:adjustRightInd w:val="0"/>
        <w:spacing w:after="0" w:line="2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2008 ve 2012 arasında %3.35'lik yıllık bileşik büyüme oranı ile Türkiye, yüksek gelirli ülkelerin ve dünya ortalamasının hemen altındadır. Ancak, Ekonomik İstihbarat Birimi (EIU) tahminlerine göre, en gelişmiş ülkeler nispeten daha düşük büyüme oranlarına sahip olsalar da, Türkiye'de sağlık sektörü 2013 ve 2017 arasında % </w:t>
      </w:r>
      <w:r w:rsidR="003A2816">
        <w:rPr>
          <w:rFonts w:ascii="Arial" w:eastAsia="Arial" w:hAnsi="Arial" w:cs="Arial"/>
          <w:color w:val="1F1A17"/>
          <w:sz w:val="20"/>
          <w:szCs w:val="20"/>
        </w:rPr>
        <w:t>5,6’lık</w:t>
      </w:r>
      <w:r>
        <w:rPr>
          <w:rFonts w:ascii="Arial" w:eastAsia="Arial" w:hAnsi="Arial" w:cs="Arial"/>
          <w:color w:val="1F1A17"/>
          <w:sz w:val="20"/>
          <w:szCs w:val="20"/>
        </w:rPr>
        <w:t xml:space="preserve"> yıllık bileşik büyüme ile canlanacaktır. Ayrıca </w:t>
      </w:r>
      <w:r w:rsidR="003A2816">
        <w:rPr>
          <w:rFonts w:ascii="Arial" w:eastAsia="Arial" w:hAnsi="Arial" w:cs="Arial"/>
          <w:color w:val="1F1A17"/>
          <w:sz w:val="20"/>
          <w:szCs w:val="20"/>
        </w:rPr>
        <w:t>Türkiye’nin</w:t>
      </w:r>
      <w:r>
        <w:rPr>
          <w:rFonts w:ascii="Arial" w:eastAsia="Arial" w:hAnsi="Arial" w:cs="Arial"/>
          <w:color w:val="1F1A17"/>
          <w:sz w:val="20"/>
          <w:szCs w:val="20"/>
        </w:rPr>
        <w:t xml:space="preserve"> bu büyüme oranı ile dünya ortalamasını aşması bekleniyor.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Kişi başına sağlık harcaması 2002 yılından bu yana dört kat artmış olmasına rağmen, sağlık göstergeleri, Türkiye'de büyüme için oldukça fazla yer olduğunu göstermektedir. Ekonomik İstihbarat Birimi'nin bildirisine göre kamu sağlık harcamaları, 2009 yılında toplam 38 milyar USD'dır ve bu rakam Avrupa Birliği (AB) için olan %8-18 oranıyla karşılaştırıldığında GSYİH'nın %</w:t>
      </w:r>
      <w:r w:rsidR="003A2816">
        <w:rPr>
          <w:rFonts w:ascii="Arial" w:eastAsia="Arial" w:hAnsi="Arial" w:cs="Arial"/>
          <w:color w:val="1F1A17"/>
          <w:sz w:val="20"/>
          <w:szCs w:val="20"/>
        </w:rPr>
        <w:t>6,2’sini</w:t>
      </w:r>
      <w:r>
        <w:rPr>
          <w:rFonts w:ascii="Arial" w:eastAsia="Arial" w:hAnsi="Arial" w:cs="Arial"/>
          <w:color w:val="1F1A17"/>
          <w:sz w:val="20"/>
          <w:szCs w:val="20"/>
        </w:rPr>
        <w:t xml:space="preserve"> temsil etmektedir. Sağlık harcamalarının yaklaşık üçte biri ilaç harcamaları ile ilgilidir.  Deloitte Türkiye'nin tahminine göre Türkiye'de toplam yıllık sağlık harcaması, 2014 yılı </w:t>
      </w:r>
      <w:r w:rsidR="003A2816">
        <w:rPr>
          <w:rFonts w:ascii="Arial" w:eastAsia="Arial" w:hAnsi="Arial" w:cs="Arial"/>
          <w:color w:val="1F1A17"/>
          <w:sz w:val="20"/>
          <w:szCs w:val="20"/>
        </w:rPr>
        <w:t>itibarıyla</w:t>
      </w:r>
      <w:r>
        <w:rPr>
          <w:rFonts w:ascii="Arial" w:eastAsia="Arial" w:hAnsi="Arial" w:cs="Arial"/>
          <w:color w:val="1F1A17"/>
          <w:sz w:val="20"/>
          <w:szCs w:val="20"/>
        </w:rPr>
        <w:t xml:space="preserve"> 63 milyar USD'ye ulaşacak</w:t>
      </w:r>
      <w:r w:rsidR="003B02C6">
        <w:rPr>
          <w:rFonts w:ascii="Arial" w:eastAsia="Arial" w:hAnsi="Arial" w:cs="Arial"/>
          <w:color w:val="1F1A17"/>
          <w:sz w:val="20"/>
          <w:szCs w:val="20"/>
        </w:rPr>
        <w:t>tır</w:t>
      </w:r>
      <w:r>
        <w:rPr>
          <w:rFonts w:ascii="Arial" w:eastAsia="Arial" w:hAnsi="Arial" w:cs="Arial"/>
          <w:color w:val="1F1A17"/>
          <w:sz w:val="20"/>
          <w:szCs w:val="20"/>
        </w:rPr>
        <w:t>.</w:t>
      </w:r>
    </w:p>
    <w:p w:rsidR="00493D0A" w:rsidRPr="0087022D" w:rsidP="00493D0A">
      <w:pPr>
        <w:widowControl w:val="0"/>
        <w:autoSpaceDE w:val="0"/>
        <w:autoSpaceDN w:val="0"/>
        <w:adjustRightInd w:val="0"/>
        <w:spacing w:after="0" w:line="32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2011 yılında Türkiye'de Tıbbi Hastaneler ve Yatak Kapasiteleri*</w:t>
      </w:r>
    </w:p>
    <w:p w:rsidR="00493D0A" w:rsidRPr="0087022D" w:rsidP="00493D0A">
      <w:pPr>
        <w:widowControl w:val="0"/>
        <w:autoSpaceDE w:val="0"/>
        <w:autoSpaceDN w:val="0"/>
        <w:adjustRightInd w:val="0"/>
        <w:spacing w:after="0" w:line="222"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2460"/>
        <w:gridCol w:w="3120"/>
        <w:gridCol w:w="2340"/>
      </w:tblGrid>
      <w:tr w:rsidTr="00036A52">
        <w:tblPrEx>
          <w:tblW w:w="0" w:type="auto"/>
          <w:tblLayout w:type="fixed"/>
          <w:tblCellMar>
            <w:left w:w="0" w:type="dxa"/>
            <w:right w:w="0" w:type="dxa"/>
          </w:tblCellMar>
          <w:tblLook w:val="0000"/>
        </w:tblPrEx>
        <w:trPr>
          <w:trHeight w:val="294"/>
        </w:trPr>
        <w:tc>
          <w:tcPr>
            <w:tcW w:w="246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18"/>
                <w:szCs w:val="18"/>
              </w:rPr>
              <w:t xml:space="preserve">Organizasyon </w:t>
            </w:r>
          </w:p>
        </w:tc>
        <w:tc>
          <w:tcPr>
            <w:tcW w:w="312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760"/>
              <w:rPr>
                <w:rFonts w:ascii="Times New Roman" w:hAnsi="Times New Roman"/>
                <w:sz w:val="24"/>
                <w:szCs w:val="24"/>
                <w:lang w:val="en-US"/>
              </w:rPr>
            </w:pPr>
            <w:r>
              <w:rPr>
                <w:rFonts w:ascii="Arial" w:eastAsia="Arial" w:hAnsi="Arial" w:cs="Arial"/>
                <w:b/>
                <w:bCs/>
                <w:color w:val="FFFFFF"/>
                <w:sz w:val="18"/>
                <w:szCs w:val="18"/>
              </w:rPr>
              <w:t xml:space="preserve">Hastanelerin sayısı </w:t>
            </w:r>
          </w:p>
        </w:tc>
        <w:tc>
          <w:tcPr>
            <w:tcW w:w="23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600"/>
              <w:rPr>
                <w:rFonts w:ascii="Times New Roman" w:hAnsi="Times New Roman"/>
                <w:sz w:val="24"/>
                <w:szCs w:val="24"/>
                <w:lang w:val="en-US"/>
              </w:rPr>
            </w:pPr>
            <w:r>
              <w:rPr>
                <w:rFonts w:ascii="Arial" w:eastAsia="Arial" w:hAnsi="Arial" w:cs="Arial"/>
                <w:b/>
                <w:bCs/>
                <w:color w:val="FFFFFF"/>
                <w:sz w:val="18"/>
                <w:szCs w:val="18"/>
              </w:rPr>
              <w:t xml:space="preserve">Yatak Sayısı </w:t>
            </w:r>
          </w:p>
        </w:tc>
      </w:tr>
      <w:tr w:rsidTr="00036A52">
        <w:tblPrEx>
          <w:tblW w:w="0" w:type="auto"/>
          <w:tblLayout w:type="fixed"/>
          <w:tblCellMar>
            <w:left w:w="0" w:type="dxa"/>
            <w:right w:w="0" w:type="dxa"/>
          </w:tblCellMar>
          <w:tblLook w:val="0000"/>
        </w:tblPrEx>
        <w:trPr>
          <w:trHeight w:val="61"/>
        </w:trPr>
        <w:tc>
          <w:tcPr>
            <w:tcW w:w="246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312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3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89"/>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Sağlık Bakanlığı </w:t>
            </w: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90"/>
              <w:jc w:val="center"/>
              <w:rPr>
                <w:rFonts w:ascii="Times New Roman" w:hAnsi="Times New Roman"/>
                <w:sz w:val="24"/>
                <w:szCs w:val="24"/>
                <w:lang w:val="en-US"/>
              </w:rPr>
            </w:pPr>
            <w:r w:rsidRPr="0087022D">
              <w:rPr>
                <w:rFonts w:ascii="Arial" w:hAnsi="Arial" w:cs="Arial"/>
                <w:color w:val="1F1A17"/>
                <w:w w:val="99"/>
                <w:sz w:val="18"/>
                <w:szCs w:val="18"/>
                <w:lang w:val="en-US"/>
              </w:rPr>
              <w:t>842</w:t>
            </w: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10"/>
              <w:jc w:val="center"/>
              <w:rPr>
                <w:rFonts w:ascii="Times New Roman" w:hAnsi="Times New Roman"/>
                <w:sz w:val="24"/>
                <w:szCs w:val="24"/>
                <w:lang w:val="en-US"/>
              </w:rPr>
            </w:pPr>
            <w:r w:rsidRPr="0087022D">
              <w:rPr>
                <w:rFonts w:ascii="Arial" w:hAnsi="Arial" w:cs="Arial"/>
                <w:color w:val="1F1A17"/>
                <w:w w:val="98"/>
                <w:sz w:val="18"/>
                <w:szCs w:val="18"/>
                <w:lang w:val="en-US"/>
              </w:rPr>
              <w:t>120,535</w:t>
            </w:r>
          </w:p>
        </w:tc>
      </w:tr>
      <w:tr w:rsidTr="00036A52">
        <w:tblPrEx>
          <w:tblW w:w="0" w:type="auto"/>
          <w:tblLayout w:type="fixed"/>
          <w:tblCellMar>
            <w:left w:w="0" w:type="dxa"/>
            <w:right w:w="0" w:type="dxa"/>
          </w:tblCellMar>
          <w:tblLook w:val="0000"/>
        </w:tblPrEx>
        <w:trPr>
          <w:trHeight w:val="67"/>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83"/>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Özel </w:t>
            </w: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90"/>
              <w:jc w:val="center"/>
              <w:rPr>
                <w:rFonts w:ascii="Times New Roman" w:hAnsi="Times New Roman"/>
                <w:sz w:val="24"/>
                <w:szCs w:val="24"/>
                <w:lang w:val="en-US"/>
              </w:rPr>
            </w:pPr>
            <w:r w:rsidRPr="0087022D">
              <w:rPr>
                <w:rFonts w:ascii="Arial" w:hAnsi="Arial" w:cs="Arial"/>
                <w:color w:val="1F1A17"/>
                <w:w w:val="99"/>
                <w:sz w:val="18"/>
                <w:szCs w:val="18"/>
                <w:lang w:val="en-US"/>
              </w:rPr>
              <w:t>490</w:t>
            </w: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90"/>
              <w:jc w:val="center"/>
              <w:rPr>
                <w:rFonts w:ascii="Times New Roman" w:hAnsi="Times New Roman"/>
                <w:sz w:val="24"/>
                <w:szCs w:val="24"/>
                <w:lang w:val="en-US"/>
              </w:rPr>
            </w:pPr>
            <w:r w:rsidRPr="0087022D">
              <w:rPr>
                <w:rFonts w:ascii="Arial" w:hAnsi="Arial" w:cs="Arial"/>
                <w:color w:val="1F1A17"/>
                <w:w w:val="97"/>
                <w:sz w:val="18"/>
                <w:szCs w:val="18"/>
                <w:lang w:val="en-US"/>
              </w:rPr>
              <w:t>28,147</w:t>
            </w:r>
          </w:p>
        </w:tc>
      </w:tr>
      <w:tr w:rsidTr="00036A52">
        <w:tblPrEx>
          <w:tblW w:w="0" w:type="auto"/>
          <w:tblLayout w:type="fixed"/>
          <w:tblCellMar>
            <w:left w:w="0" w:type="dxa"/>
            <w:right w:w="0" w:type="dxa"/>
          </w:tblCellMar>
          <w:tblLook w:val="0000"/>
        </w:tblPrEx>
        <w:trPr>
          <w:trHeight w:val="72"/>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8"/>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Üniversiteler </w:t>
            </w: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10"/>
              <w:jc w:val="center"/>
              <w:rPr>
                <w:rFonts w:ascii="Times New Roman" w:hAnsi="Times New Roman"/>
                <w:sz w:val="24"/>
                <w:szCs w:val="24"/>
                <w:lang w:val="en-US"/>
              </w:rPr>
            </w:pPr>
            <w:r w:rsidRPr="0087022D">
              <w:rPr>
                <w:rFonts w:ascii="Arial" w:hAnsi="Arial" w:cs="Arial"/>
                <w:color w:val="1F1A17"/>
                <w:w w:val="99"/>
                <w:sz w:val="18"/>
                <w:szCs w:val="18"/>
                <w:lang w:val="en-US"/>
              </w:rPr>
              <w:t>62</w:t>
            </w: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90"/>
              <w:jc w:val="center"/>
              <w:rPr>
                <w:rFonts w:ascii="Times New Roman" w:hAnsi="Times New Roman"/>
                <w:sz w:val="24"/>
                <w:szCs w:val="24"/>
                <w:lang w:val="en-US"/>
              </w:rPr>
            </w:pPr>
            <w:r w:rsidRPr="0087022D">
              <w:rPr>
                <w:rFonts w:ascii="Arial" w:hAnsi="Arial" w:cs="Arial"/>
                <w:color w:val="1F1A17"/>
                <w:w w:val="97"/>
                <w:sz w:val="18"/>
                <w:szCs w:val="18"/>
                <w:lang w:val="en-US"/>
              </w:rPr>
              <w:t>35,001</w:t>
            </w:r>
          </w:p>
        </w:tc>
      </w:tr>
      <w:tr w:rsidTr="00036A52">
        <w:tblPrEx>
          <w:tblW w:w="0" w:type="auto"/>
          <w:tblLayout w:type="fixed"/>
          <w:tblCellMar>
            <w:left w:w="0" w:type="dxa"/>
            <w:right w:w="0" w:type="dxa"/>
          </w:tblCellMar>
          <w:tblLook w:val="0000"/>
        </w:tblPrEx>
        <w:trPr>
          <w:trHeight w:val="78"/>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2"/>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Savunma Bakanlığı</w:t>
            </w: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10"/>
              <w:jc w:val="center"/>
              <w:rPr>
                <w:rFonts w:ascii="Times New Roman" w:hAnsi="Times New Roman"/>
                <w:sz w:val="24"/>
                <w:szCs w:val="24"/>
                <w:lang w:val="en-US"/>
              </w:rPr>
            </w:pPr>
            <w:r w:rsidRPr="0087022D">
              <w:rPr>
                <w:rFonts w:ascii="Arial" w:hAnsi="Arial" w:cs="Arial"/>
                <w:color w:val="1F1A17"/>
                <w:w w:val="99"/>
                <w:sz w:val="18"/>
                <w:szCs w:val="18"/>
                <w:lang w:val="en-US"/>
              </w:rPr>
              <w:t>42</w:t>
            </w: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90"/>
              <w:jc w:val="center"/>
              <w:rPr>
                <w:rFonts w:ascii="Times New Roman" w:hAnsi="Times New Roman"/>
                <w:sz w:val="24"/>
                <w:szCs w:val="24"/>
                <w:lang w:val="en-US"/>
              </w:rPr>
            </w:pPr>
            <w:r w:rsidRPr="0087022D">
              <w:rPr>
                <w:rFonts w:ascii="Arial" w:hAnsi="Arial" w:cs="Arial"/>
                <w:color w:val="1F1A17"/>
                <w:w w:val="97"/>
                <w:sz w:val="18"/>
                <w:szCs w:val="18"/>
                <w:lang w:val="en-US"/>
              </w:rPr>
              <w:t>15,900</w:t>
            </w:r>
          </w:p>
        </w:tc>
      </w:tr>
      <w:tr w:rsidTr="00036A52">
        <w:tblPrEx>
          <w:tblW w:w="0" w:type="auto"/>
          <w:tblLayout w:type="fixed"/>
          <w:tblCellMar>
            <w:left w:w="0" w:type="dxa"/>
            <w:right w:w="0" w:type="dxa"/>
          </w:tblCellMar>
          <w:tblLook w:val="0000"/>
        </w:tblPrEx>
        <w:trPr>
          <w:trHeight w:val="84"/>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r>
      <w:tr w:rsidTr="00036A52">
        <w:tblPrEx>
          <w:tblW w:w="0" w:type="auto"/>
          <w:tblLayout w:type="fixed"/>
          <w:tblCellMar>
            <w:left w:w="0" w:type="dxa"/>
            <w:right w:w="0" w:type="dxa"/>
          </w:tblCellMar>
          <w:tblLook w:val="0000"/>
        </w:tblPrEx>
        <w:trPr>
          <w:trHeight w:val="266"/>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Belediyeler </w:t>
            </w: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90"/>
              <w:jc w:val="center"/>
              <w:rPr>
                <w:rFonts w:ascii="Times New Roman" w:hAnsi="Times New Roman"/>
                <w:sz w:val="24"/>
                <w:szCs w:val="24"/>
                <w:lang w:val="en-US"/>
              </w:rPr>
            </w:pPr>
            <w:r w:rsidRPr="0087022D">
              <w:rPr>
                <w:rFonts w:ascii="Arial" w:hAnsi="Arial" w:cs="Arial"/>
                <w:color w:val="1F1A17"/>
                <w:w w:val="99"/>
                <w:sz w:val="18"/>
                <w:szCs w:val="18"/>
                <w:lang w:val="en-US"/>
              </w:rPr>
              <w:t>3</w:t>
            </w: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90"/>
              <w:jc w:val="center"/>
              <w:rPr>
                <w:rFonts w:ascii="Times New Roman" w:hAnsi="Times New Roman"/>
                <w:sz w:val="24"/>
                <w:szCs w:val="24"/>
                <w:lang w:val="en-US"/>
              </w:rPr>
            </w:pPr>
            <w:r w:rsidRPr="0087022D">
              <w:rPr>
                <w:rFonts w:ascii="Arial" w:hAnsi="Arial" w:cs="Arial"/>
                <w:color w:val="1F1A17"/>
                <w:sz w:val="18"/>
                <w:szCs w:val="18"/>
                <w:lang w:val="en-US"/>
              </w:rPr>
              <w:t>1,095</w:t>
            </w:r>
          </w:p>
        </w:tc>
      </w:tr>
      <w:tr w:rsidTr="00036A52">
        <w:tblPrEx>
          <w:tblW w:w="0" w:type="auto"/>
          <w:tblLayout w:type="fixed"/>
          <w:tblCellMar>
            <w:left w:w="0" w:type="dxa"/>
            <w:right w:w="0" w:type="dxa"/>
          </w:tblCellMar>
          <w:tblLook w:val="0000"/>
        </w:tblPrEx>
        <w:trPr>
          <w:trHeight w:val="89"/>
        </w:trPr>
        <w:tc>
          <w:tcPr>
            <w:tcW w:w="24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3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2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r>
      <w:tr w:rsidTr="00036A52">
        <w:tblPrEx>
          <w:tblW w:w="0" w:type="auto"/>
          <w:tblLayout w:type="fixed"/>
          <w:tblCellMar>
            <w:left w:w="0" w:type="dxa"/>
            <w:right w:w="0" w:type="dxa"/>
          </w:tblCellMar>
          <w:tblLook w:val="0000"/>
        </w:tblPrEx>
        <w:trPr>
          <w:trHeight w:val="261"/>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1F1A17"/>
                <w:sz w:val="18"/>
                <w:szCs w:val="18"/>
              </w:rPr>
              <w:t xml:space="preserve">Toplam </w:t>
            </w: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90"/>
              <w:jc w:val="center"/>
              <w:rPr>
                <w:rFonts w:ascii="Times New Roman" w:hAnsi="Times New Roman"/>
                <w:sz w:val="24"/>
                <w:szCs w:val="24"/>
                <w:lang w:val="en-US"/>
              </w:rPr>
            </w:pPr>
            <w:r w:rsidRPr="0087022D">
              <w:rPr>
                <w:rFonts w:ascii="Arial" w:hAnsi="Arial" w:cs="Arial"/>
                <w:b/>
                <w:bCs/>
                <w:color w:val="1F1A17"/>
                <w:sz w:val="18"/>
                <w:szCs w:val="18"/>
                <w:lang w:val="en-US"/>
              </w:rPr>
              <w:t>1,439</w:t>
            </w: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90"/>
              <w:jc w:val="center"/>
              <w:rPr>
                <w:rFonts w:ascii="Times New Roman" w:hAnsi="Times New Roman"/>
                <w:sz w:val="24"/>
                <w:szCs w:val="24"/>
                <w:lang w:val="en-US"/>
              </w:rPr>
            </w:pPr>
            <w:r w:rsidRPr="0087022D">
              <w:rPr>
                <w:rFonts w:ascii="Arial" w:hAnsi="Arial" w:cs="Arial"/>
                <w:b/>
                <w:bCs/>
                <w:color w:val="1F1A17"/>
                <w:sz w:val="18"/>
                <w:szCs w:val="18"/>
                <w:lang w:val="en-US"/>
              </w:rPr>
              <w:t>200,678</w:t>
            </w:r>
          </w:p>
        </w:tc>
      </w:tr>
      <w:tr w:rsidTr="00036A52">
        <w:tblPrEx>
          <w:tblW w:w="0" w:type="auto"/>
          <w:tblLayout w:type="fixed"/>
          <w:tblCellMar>
            <w:left w:w="0" w:type="dxa"/>
            <w:right w:w="0" w:type="dxa"/>
          </w:tblCellMar>
          <w:tblLook w:val="0000"/>
        </w:tblPrEx>
        <w:trPr>
          <w:trHeight w:val="95"/>
        </w:trPr>
        <w:tc>
          <w:tcPr>
            <w:tcW w:w="24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8"/>
                <w:szCs w:val="8"/>
                <w:lang w:val="en-US"/>
              </w:rPr>
            </w:pPr>
          </w:p>
        </w:tc>
        <w:tc>
          <w:tcPr>
            <w:tcW w:w="31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8"/>
                <w:szCs w:val="8"/>
                <w:lang w:val="en-US"/>
              </w:rPr>
            </w:pPr>
          </w:p>
        </w:tc>
        <w:tc>
          <w:tcPr>
            <w:tcW w:w="23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8"/>
                <w:szCs w:val="8"/>
                <w:lang w:val="en-US"/>
              </w:rPr>
            </w:pPr>
          </w:p>
        </w:tc>
      </w:tr>
    </w:tbl>
    <w:p w:rsidR="00493D0A" w:rsidRPr="0087022D" w:rsidP="00493D0A">
      <w:pPr>
        <w:widowControl w:val="0"/>
        <w:autoSpaceDE w:val="0"/>
        <w:autoSpaceDN w:val="0"/>
        <w:adjustRightInd w:val="0"/>
        <w:spacing w:after="0" w:line="101"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30 Mayıs itibarıyla</w:t>
      </w:r>
    </w:p>
    <w:p w:rsidR="00493D0A" w:rsidRPr="0087022D" w:rsidP="00493D0A">
      <w:pPr>
        <w:widowControl w:val="0"/>
        <w:autoSpaceDE w:val="0"/>
        <w:autoSpaceDN w:val="0"/>
        <w:adjustRightInd w:val="0"/>
        <w:spacing w:after="0" w:line="10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i/>
          <w:iCs/>
          <w:color w:val="1F1A17"/>
          <w:sz w:val="17"/>
          <w:szCs w:val="17"/>
        </w:rPr>
        <w:t xml:space="preserve"> Kaynak:  İstanbul Sağlık Müdürlüğü Derneği, Sağlık Bakanlığı, TÜİK </w:t>
      </w:r>
    </w:p>
    <w:p w:rsidR="00493D0A" w:rsidRPr="0087022D" w:rsidP="00493D0A">
      <w:pPr>
        <w:widowControl w:val="0"/>
        <w:autoSpaceDE w:val="0"/>
        <w:autoSpaceDN w:val="0"/>
        <w:adjustRightInd w:val="0"/>
        <w:spacing w:after="0" w:line="38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r>
        <w:rPr>
          <w:rFonts w:ascii="Arial" w:eastAsia="Arial" w:hAnsi="Arial" w:cs="Arial"/>
          <w:color w:val="1F1A17"/>
          <w:sz w:val="20"/>
          <w:szCs w:val="20"/>
        </w:rPr>
        <w:t xml:space="preserve">OECD ülkelerinde ortalama %38 orana kıyasla toplam sağlık harcamalarında %26 paya sahip olan özel sektör için hala büyümeye yer vardır. Sağlık hizmetlerinin önemli bir bölümü kamu sektörü tarafından sağlanmaktadır.  Mayıs 2011 itibariyle, Sağlık Bakanlığı Türkiye'nin 200.678 toplam yatağın 120.535'ine sahip olan 1.439 hastanesinin </w:t>
      </w:r>
      <w:r w:rsidR="003A2816">
        <w:rPr>
          <w:rFonts w:ascii="Arial" w:eastAsia="Arial" w:hAnsi="Arial" w:cs="Arial"/>
          <w:color w:val="1F1A17"/>
          <w:sz w:val="20"/>
          <w:szCs w:val="20"/>
        </w:rPr>
        <w:t>842’sini işletmektedir</w:t>
      </w:r>
      <w:r>
        <w:rPr>
          <w:rFonts w:ascii="Arial" w:eastAsia="Arial" w:hAnsi="Arial" w:cs="Arial"/>
          <w:color w:val="1F1A17"/>
          <w:sz w:val="20"/>
          <w:szCs w:val="20"/>
        </w:rPr>
        <w:t xml:space="preserve">. Türkiye sağlık yatırımları için cömert bir teşvik sistemine sahiptir.  Hastaneler gümrük vergisi ve ilgili ücretler olmadan teşvik belgelerinde listelenen gerekli tüm makine ve ekipmanı alabilir ve katma değer vergisi ertelenmiş ödeme yapabilirler. Özel sektör, son yıllarda teşvik sisteminden yararlanmaya başlamıştır. Özel sağlık hizmetlerine olan talebin artmasıyla birlikte, </w:t>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7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7880350" cy="9446895"/>
            <wp:effectExtent l="0" t="0" r="0" b="0"/>
            <wp:wrapNone/>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170" name="Picture 177"/>
                    <pic:cNvPicPr>
                      <a:picLocks noChangeAspect="1" noChangeArrowheads="1"/>
                    </pic:cNvPicPr>
                  </pic:nvPicPr>
                  <pic:blipFill>
                    <a:blip xmlns:r="http://schemas.openxmlformats.org/officeDocument/2006/relationships" r:embed="rId5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özel hastane sayısı 1993'ten itibaren artış göstererek 1995'te 141'den 2007'de 365'e ve 2011'de 490'a ulaşmıştır.  Özel sektör, Türkiye'deki hastanelerin %</w:t>
      </w:r>
      <w:r w:rsidR="003A2816">
        <w:rPr>
          <w:rFonts w:ascii="Arial" w:eastAsia="Arial" w:hAnsi="Arial" w:cs="Arial"/>
          <w:color w:val="1F1A17"/>
          <w:sz w:val="20"/>
          <w:szCs w:val="20"/>
        </w:rPr>
        <w:t>34,1’ini</w:t>
      </w:r>
      <w:r>
        <w:rPr>
          <w:rFonts w:ascii="Arial" w:eastAsia="Arial" w:hAnsi="Arial" w:cs="Arial"/>
          <w:color w:val="1F1A17"/>
          <w:sz w:val="20"/>
          <w:szCs w:val="20"/>
        </w:rPr>
        <w:t xml:space="preserve"> ve yatak kapasitesinin %14'ünü işletmektedir.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İstanbul Sağlık Yöneticilerinin Derneği'nin bildirisine göre, geçtiğimiz on yılda yüzde 75'i özel sektör tarafından yürütülen Türkiye'de sağlık yatırımı yılda yaklaşık 5 milyar USD civarında ortalamaya sahip olmuştur. Çeşitli sağlık grupları Türkiye genelinde çok sayıda hastaneye sahip olmuştur. 2010 yılı sonu itibariyle, Türkiye'nin 81 ilinden 66'sı özel hastaneye sahiptir. Özel hastanelerin %76'sı ve özel sağlık kuruluşlarının yataklarının %80'i İstanbul öncülüğündeki 20 ilde toplanmıştır.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Tıbbi Ekipman piyasası toplam sağlık tesislerinde artan yatırım ve özelleştirme yönündeki eğilime paralel olarak, son iki yıl içinde bir sanayi durumuna erişmiştir. Piyasa son yıllarda yılda tahminen %12-14 büyümüş ve </w:t>
      </w:r>
      <w:r w:rsidR="003A2816">
        <w:rPr>
          <w:rFonts w:ascii="Arial" w:eastAsia="Arial" w:hAnsi="Arial" w:cs="Arial"/>
          <w:color w:val="1F1A17"/>
          <w:sz w:val="20"/>
          <w:szCs w:val="20"/>
        </w:rPr>
        <w:t>2010’da 2,1</w:t>
      </w:r>
      <w:r>
        <w:rPr>
          <w:rFonts w:ascii="Arial" w:eastAsia="Arial" w:hAnsi="Arial" w:cs="Arial"/>
          <w:color w:val="1F1A17"/>
          <w:sz w:val="20"/>
          <w:szCs w:val="20"/>
        </w:rPr>
        <w:t xml:space="preserve"> milyar USD civarına ulaşmıştır. 2015 yılına kadar 3.12 milyar USD'ye ulaşması beklenmektedir. Büyüme özellikle üretimden ziyade ithalattaki artış tarafından körüklenmiştir. </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 Türkiye sağlık ve sosyal hizmet sektörlerinde etkileyici bir seviyede DYY (doğrudan yabancı yatırım) çekmeyi başardı. Endüstriye DYY akışı, 2008'den 2012'ye %39'luk bir yıllık bileşik büyüme ile 2012 yılında 545 milyon dolara ulaşmıştır.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Çok sayıda yabancı şirket ve özel sermaye fonu 2004 yılından bu yana özel Türk sağlık ortaklıklarında kar elde etmiştir. 2006 yılında, CitibankVentureCapital Ltd., Biopharma İlaç Şirketini 200 milyon USD'ye satın almıştır. Bermuda merkezli Eastpharma Holding ilaç üreticisi Sabaİlaç Sanayii ve Ticaret A.Ş</w:t>
      </w:r>
      <w:r w:rsidR="003A2816">
        <w:rPr>
          <w:rFonts w:ascii="Arial" w:eastAsia="Arial" w:hAnsi="Arial" w:cs="Arial"/>
          <w:color w:val="1F1A17"/>
          <w:sz w:val="20"/>
          <w:szCs w:val="20"/>
        </w:rPr>
        <w:t>.</w:t>
      </w:r>
      <w:r>
        <w:rPr>
          <w:rFonts w:ascii="Arial" w:eastAsia="Arial" w:hAnsi="Arial" w:cs="Arial"/>
          <w:color w:val="1F1A17"/>
          <w:sz w:val="20"/>
          <w:szCs w:val="20"/>
        </w:rPr>
        <w:t>'de %96'lık bir hisseyi 10 milyon USD'ye almıştır.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2007 ve 2008 yıllarında, Birleşik Arap Emirlikleri Abraaj Limited Acıbadem Sağlık Hizmetleri'nin toplamda %57.86 hissesini </w:t>
      </w:r>
      <w:r w:rsidR="003A2816">
        <w:rPr>
          <w:rFonts w:ascii="Arial" w:eastAsia="Arial" w:hAnsi="Arial" w:cs="Arial"/>
          <w:color w:val="1F1A17"/>
          <w:sz w:val="20"/>
          <w:szCs w:val="20"/>
        </w:rPr>
        <w:t>605,3</w:t>
      </w:r>
      <w:r>
        <w:rPr>
          <w:rFonts w:ascii="Arial" w:eastAsia="Arial" w:hAnsi="Arial" w:cs="Arial"/>
          <w:color w:val="1F1A17"/>
          <w:sz w:val="20"/>
          <w:szCs w:val="20"/>
        </w:rPr>
        <w:t xml:space="preserve"> milyon USD'ye satın almış; ABD Küresel Çevre Fonu açıklanmayan bir miktarla diş bakımı şirketi Dent İstanbul'u satın almış; </w:t>
      </w:r>
      <w:r w:rsidR="003A2816">
        <w:rPr>
          <w:rFonts w:ascii="Arial" w:eastAsia="Arial" w:hAnsi="Arial" w:cs="Arial"/>
          <w:color w:val="1F1A17"/>
          <w:sz w:val="20"/>
          <w:szCs w:val="20"/>
        </w:rPr>
        <w:t>Yunan Hygeia</w:t>
      </w:r>
      <w:r>
        <w:rPr>
          <w:rFonts w:ascii="Arial" w:eastAsia="Arial" w:hAnsi="Arial" w:cs="Arial"/>
          <w:color w:val="1F1A17"/>
          <w:sz w:val="20"/>
          <w:szCs w:val="20"/>
        </w:rPr>
        <w:t xml:space="preserve"> özel Şafak Hastanelerinin %50'sini 48 milyon USD'ye satın almıştır. 2009 yılında, ABD Carlyle GroupMedical Park Hastanelerinde 100 milyon USD'ye %40'lık bir hisse satın aldı. 2010 yılında, Lüksemburg merkezli Swan Holding açıklanmayan bir miktara Dünya Göz Hastanesi'nin %30 hissesini satın almış ve Birleşik Krallık merkezli ArgusCapitalPartners ve Katar Yatırım Otoritesi 120 milyon USD'yeMemorial Sağlık Grubu'nun %40 hissesini satın almıştır.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1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6128" behindDoc="1" locked="0" layoutInCell="0" allowOverlap="1">
            <wp:simplePos x="0" y="0"/>
            <wp:positionH relativeFrom="page">
              <wp:posOffset>0</wp:posOffset>
            </wp:positionH>
            <wp:positionV relativeFrom="page">
              <wp:posOffset>377190</wp:posOffset>
            </wp:positionV>
            <wp:extent cx="7880350" cy="9897110"/>
            <wp:effectExtent l="0" t="0" r="0" b="0"/>
            <wp:wrapNone/>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23611" name="Picture 178"/>
                    <pic:cNvPicPr>
                      <a:picLocks noChangeAspect="1" noChangeArrowheads="1"/>
                    </pic:cNvPicPr>
                  </pic:nvPicPr>
                  <pic:blipFill>
                    <a:blip xmlns:r="http://schemas.openxmlformats.org/officeDocument/2006/relationships" r:embed="rId5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Tıbbi ekipman sektöründe üretim tesisleri ile büyük çokuluslu şirketler arasında GE Healthcare ve Siemens bulunmaktadır. 2009 yılı Haziran ayında, GE Healthcare Türkiye, Ankara'da yeni bir tesis yatırımı olacağını söylemiştir. Siemens 76 milyon USD'lik yatırımla İstanbul'un 40 km doğusunda, Gebze'de yeni bir üretim sitesi açmıştır. Türk hükümeti bu alanda yabancı şirketlerin yatırım yapmalarını teşvik etmektedir. Almanya'nın MAQUET'i, örneğin, Türkiye'nin güneybatısında Akdeniz kıyılarında, Antalya Serbest Bölgesi'nde, kateterler de </w:t>
      </w:r>
      <w:r w:rsidR="003A2816">
        <w:rPr>
          <w:rFonts w:ascii="Arial" w:eastAsia="Arial" w:hAnsi="Arial" w:cs="Arial"/>
          <w:color w:val="1F1A17"/>
          <w:sz w:val="20"/>
          <w:szCs w:val="20"/>
        </w:rPr>
        <w:t>dâhil</w:t>
      </w:r>
      <w:r>
        <w:rPr>
          <w:rFonts w:ascii="Arial" w:eastAsia="Arial" w:hAnsi="Arial" w:cs="Arial"/>
          <w:color w:val="1F1A17"/>
          <w:sz w:val="20"/>
          <w:szCs w:val="20"/>
        </w:rPr>
        <w:t xml:space="preserve"> olmak üzere gelişmiş cerrahi çalışma masaları ve kardiyopulmoner ekipmanlar üretmektedir.</w:t>
      </w:r>
    </w:p>
    <w:p w:rsidR="00493D0A" w:rsidRPr="0087022D" w:rsidP="00493D0A">
      <w:pPr>
        <w:widowControl w:val="0"/>
        <w:autoSpaceDE w:val="0"/>
        <w:autoSpaceDN w:val="0"/>
        <w:adjustRightInd w:val="0"/>
        <w:spacing w:after="0" w:line="223"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Ayrıca Türk hastaneleri Avrupa Birliği'ndekilerin üçte biri ila beşte birinin maliyetlerinden yararlanmaktadır. Türkiye İstatistik Kurumu'na göre (TÜİK) son zamanlarda yılda 165,000 yabancı sağlık amaçlı olarak Türkiye'yi ziyaret etmektedir. TÜİK'e göre, ülke sağlık turizminden yılda 360 milyon USD kazanmaktadır. Türkiye'nin medikal turizm piyasası için en büyük piyasalardan biri İngiltere'dir. 2020 yılına kadar, Türkiye yılda 500.000 yabancı hastayı çekmeyi ve TOBB'a göre, Türkiye'nin en büyük iş organizasyonu </w:t>
      </w:r>
      <w:r w:rsidR="003A2816">
        <w:rPr>
          <w:rFonts w:ascii="Arial" w:eastAsia="Arial" w:hAnsi="Arial" w:cs="Arial"/>
          <w:color w:val="1F1A17"/>
          <w:sz w:val="20"/>
          <w:szCs w:val="20"/>
        </w:rPr>
        <w:t>olan sağlık</w:t>
      </w:r>
      <w:r>
        <w:rPr>
          <w:rFonts w:ascii="Arial" w:eastAsia="Arial" w:hAnsi="Arial" w:cs="Arial"/>
          <w:color w:val="1F1A17"/>
          <w:sz w:val="20"/>
          <w:szCs w:val="20"/>
        </w:rPr>
        <w:t xml:space="preserve"> turizminden 10 m</w:t>
      </w:r>
      <w:r w:rsidR="003B02C6">
        <w:rPr>
          <w:rFonts w:ascii="Arial" w:eastAsia="Arial" w:hAnsi="Arial" w:cs="Arial"/>
          <w:color w:val="1F1A17"/>
          <w:sz w:val="20"/>
          <w:szCs w:val="20"/>
        </w:rPr>
        <w:t>ilyar dolar kazanmayı hedeflemektedir</w:t>
      </w:r>
      <w:r>
        <w:rPr>
          <w:rFonts w:ascii="Arial" w:eastAsia="Arial" w:hAnsi="Arial" w:cs="Arial"/>
          <w:color w:val="1F1A17"/>
          <w:sz w:val="20"/>
          <w:szCs w:val="20"/>
        </w:rPr>
        <w:t>.</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Sağlık hizmetleri ve ekipman ihtiyacının önümüzdeki birkaç yıl içinde genişlemey</w:t>
      </w:r>
      <w:r w:rsidR="003B02C6">
        <w:rPr>
          <w:rFonts w:ascii="Arial" w:eastAsia="Arial" w:hAnsi="Arial" w:cs="Arial"/>
          <w:color w:val="1F1A17"/>
          <w:sz w:val="20"/>
          <w:szCs w:val="20"/>
        </w:rPr>
        <w:t>e devam etmesi beklenmektedir</w:t>
      </w:r>
      <w:r>
        <w:rPr>
          <w:rFonts w:ascii="Arial" w:eastAsia="Arial" w:hAnsi="Arial" w:cs="Arial"/>
          <w:color w:val="1F1A17"/>
          <w:sz w:val="20"/>
          <w:szCs w:val="20"/>
        </w:rPr>
        <w:t xml:space="preserve">. İleri teknoloji modern ve özel sağlık tesislerine ve daha büyük bir sağlık piyasasına giden yolu açtığından dolayı, özel hastanelere olan talepteki artış ile birlikte sağlık hizmetlerinin özelleştirilmesi yönünde </w:t>
      </w:r>
      <w:r w:rsidR="003A2816">
        <w:rPr>
          <w:rFonts w:ascii="Arial" w:eastAsia="Arial" w:hAnsi="Arial" w:cs="Arial"/>
          <w:color w:val="1F1A17"/>
          <w:sz w:val="20"/>
          <w:szCs w:val="20"/>
        </w:rPr>
        <w:t>bir eğilim</w:t>
      </w:r>
      <w:r>
        <w:rPr>
          <w:rFonts w:ascii="Arial" w:eastAsia="Arial" w:hAnsi="Arial" w:cs="Arial"/>
          <w:color w:val="1F1A17"/>
          <w:sz w:val="20"/>
          <w:szCs w:val="20"/>
        </w:rPr>
        <w:t xml:space="preserve"> bulunmaktadır. Toplam sabit sermayedeki sağlık yatırımları içerisindeki payının artmasıyla birlikte, özel sektör sağlık hizmetleri yaygınlaşmaktadır -1993 yılında %48'den son yıllarda %75'in üzerine.</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Sağlık sektöründeki büyümenin devam etmesi beklendiğinden ve sağlık finansman sisteminin yeniden yapılandırılması gündemde olduğundan, Türkiye ekipman ve sarf malzemelerinin yanı sıra tıbbi danışmanlık hizmeti ve bilgi aktarımı için cazip bir yatırım piyasası olmaya devam edecektir. Büyüyen iç piyasasının yanı sıra, Türkiye ayrıca, Orta Asya ve Kuzey Afrika piyasalarına destek olarak sağlık hizmetleri ve ekipman sağlayıcıları için fırsatlar sunmaktadır.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Sağlık politikasındaki gelişmelerin, özel sağlık hizmetlerindeki büyüme üzerinde daha olumlu etkileri olacaktır. Kısmen Dünya Bankası tarafından desteklenen ardışık sağlık reformları sonucunda, Sağlık sektörü önemli bir yeniden yapılanma sürecinden geçmektedir, böylece özel sektör finansmanına daha büyük bir güven duyulmaktadır.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 xml:space="preserve">Hindistan Sağlık Sektörü </w:t>
      </w:r>
    </w:p>
    <w:p w:rsidR="00493D0A" w:rsidRPr="0087022D" w:rsidP="00493D0A">
      <w:pPr>
        <w:widowControl w:val="0"/>
        <w:autoSpaceDE w:val="0"/>
        <w:autoSpaceDN w:val="0"/>
        <w:adjustRightInd w:val="0"/>
        <w:spacing w:after="0" w:line="263"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84" w:lineRule="auto"/>
        <w:jc w:val="both"/>
        <w:rPr>
          <w:rFonts w:ascii="Times New Roman" w:hAnsi="Times New Roman"/>
          <w:sz w:val="24"/>
          <w:szCs w:val="24"/>
          <w:lang w:val="en-US"/>
        </w:rPr>
      </w:pPr>
      <w:r>
        <w:rPr>
          <w:rFonts w:ascii="Arial" w:eastAsia="Arial" w:hAnsi="Arial" w:cs="Arial"/>
          <w:color w:val="1F1A17"/>
          <w:sz w:val="20"/>
          <w:szCs w:val="20"/>
        </w:rPr>
        <w:t xml:space="preserve">2010 yılında 40 milyar USD olarak hesaplanan Hindistan sağlık sektörünün 2020 yılına kadar 280 milyar dolara ulaşması bekleniyor. Özel sektör tarafından yapılan büyük yatırımlar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81"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 HİNDİSTAN-TÜRKİYE Ticareti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7880350" cy="9446895"/>
            <wp:effectExtent l="0" t="0" r="0" b="0"/>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54438" name="Picture 179"/>
                    <pic:cNvPicPr>
                      <a:picLocks noChangeAspect="1" noChangeArrowheads="1"/>
                    </pic:cNvPicPr>
                  </pic:nvPicPr>
                  <pic:blipFill>
                    <a:blip xmlns:r="http://schemas.openxmlformats.org/officeDocument/2006/relationships" r:embed="rId5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RNCOS danışmanlığın 'Hint Hastane Hizmetleri Piyasasının Geleceği' raporuna göre, aktörlerin Hindistan'ın toplam piyasanın yaklaşık %80'ini oluşturan hastane sektörünün gelişimine önemli ölçüde katkıda bulunması muhtemeldir Derecelendirme kuruluşu Fitch tarafından yapılan tahminlere göre, sektör 2015 yılına kadar 100 milyar USD'ye ve 2020 yılına </w:t>
      </w:r>
      <w:r w:rsidR="003A2816">
        <w:rPr>
          <w:rFonts w:ascii="Arial" w:eastAsia="Arial" w:hAnsi="Arial" w:cs="Arial"/>
          <w:color w:val="1F1A17"/>
          <w:sz w:val="20"/>
          <w:szCs w:val="20"/>
        </w:rPr>
        <w:t>kadar 275,6</w:t>
      </w:r>
      <w:r>
        <w:rPr>
          <w:rFonts w:ascii="Arial" w:eastAsia="Arial" w:hAnsi="Arial" w:cs="Arial"/>
          <w:color w:val="1F1A17"/>
          <w:sz w:val="20"/>
          <w:szCs w:val="20"/>
        </w:rPr>
        <w:t xml:space="preserve"> milyon USD'ye büyümeye hazırlanıyor.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Hint sağlık sektörü hastaneler, tıbbi altyapı, tıbbi cihazlar, klinik çalışmalar, dış kaynak, teletıp, sağlık sigortası ve tıbbi malzeme alt-sektörlerini kapsamaktadır.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Hindistan şu anda </w:t>
      </w:r>
      <w:r w:rsidR="003A2816">
        <w:rPr>
          <w:rFonts w:ascii="Arial" w:eastAsia="Arial" w:hAnsi="Arial" w:cs="Arial"/>
          <w:color w:val="1F1A17"/>
          <w:sz w:val="20"/>
          <w:szCs w:val="20"/>
        </w:rPr>
        <w:t>0,5</w:t>
      </w:r>
      <w:r>
        <w:rPr>
          <w:rFonts w:ascii="Arial" w:eastAsia="Arial" w:hAnsi="Arial" w:cs="Arial"/>
          <w:color w:val="1F1A17"/>
          <w:sz w:val="20"/>
          <w:szCs w:val="20"/>
        </w:rPr>
        <w:t xml:space="preserve"> milyon doktor, </w:t>
      </w:r>
      <w:r w:rsidR="003A2816">
        <w:rPr>
          <w:rFonts w:ascii="Arial" w:eastAsia="Arial" w:hAnsi="Arial" w:cs="Arial"/>
          <w:color w:val="1F1A17"/>
          <w:sz w:val="20"/>
          <w:szCs w:val="20"/>
        </w:rPr>
        <w:t>0,9</w:t>
      </w:r>
      <w:r>
        <w:rPr>
          <w:rFonts w:ascii="Arial" w:eastAsia="Arial" w:hAnsi="Arial" w:cs="Arial"/>
          <w:color w:val="1F1A17"/>
          <w:sz w:val="20"/>
          <w:szCs w:val="20"/>
        </w:rPr>
        <w:t xml:space="preserve"> milyon hemşire ve 1.37 milyon civarında </w:t>
      </w:r>
      <w:r w:rsidR="003A2816">
        <w:rPr>
          <w:rFonts w:ascii="Arial" w:eastAsia="Arial" w:hAnsi="Arial" w:cs="Arial"/>
          <w:color w:val="1F1A17"/>
          <w:sz w:val="20"/>
          <w:szCs w:val="20"/>
        </w:rPr>
        <w:t>yatağa</w:t>
      </w:r>
      <w:r>
        <w:rPr>
          <w:rFonts w:ascii="Arial" w:eastAsia="Arial" w:hAnsi="Arial" w:cs="Arial"/>
          <w:color w:val="1F1A17"/>
          <w:sz w:val="20"/>
          <w:szCs w:val="20"/>
        </w:rPr>
        <w:t xml:space="preserve"> ve en fazla tıp ve hemşirelik okulu sayısına (sırasıyla 303 ve 3904) sahiptir. Ayrıca, Hindistan'da tıbbi tedavi maliyeti ABD ve Avrupa'da maliyetlerin onda biridir.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Hindistan hükümeti, tıbbi malzeme ithalat vergilerinin azaltılması, hayat kurtarıcı tıbbi ekipmanlarda daha yüksek amortisman (%25'ten % 40'a), ve bir miktar diğer vergi teşvikleri gibi politikalarla bu piyasanın büyümesini teşvik etmektedir.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Hindistan'ın dış yatırım politikası hastaneler için oldukça liberaldir. Ocak 2000 yılından bu yana, Hindistan'da hastane sektörü için otomatik rota altında %100'e kadar DYY'ye izin verilmektedir. Yabancı Yatırım Tanıtım Kurulu'ndan (FIPB) onay sadece önceden teknik işbirliği ile, yabancı yatırımcılar için gereklidir, fakat %100'e kadar izin verilmektedir. Ayrıca hükümet hastaneler, hayat kurtaran ilaçlar ve ekipman gibi daha büyük sosyal öneme sahip önerilere öncelik tanımaktadır.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Birçok yabancı aktör büyük boyutu  nedeniyle Hint sağlık piyasasına girmiştir. Bu yabancı aktörlerden şunlardır: HaydarabadVital Sağlık ile ortak girişim olan Singapur Pasifik Sağlık; Seattle merkezli hastane hizmetleri şirketi Columbia Asya Grubu; Wockhardt Hastaneleri; Hindistan'da yüzde yüz iştiraklı bir bölüm kuran ABD merkezli tıbbi ekipman şirketi Steris; ve Hyderabad'daApollo Grubu ile ortak girişimli bir tanı laboratuvarı kuran ABD'nin Johns Hopkins International'a bağlı AmcareLabs.</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Hastanelerin yanı sıra, yabancı aktörlerin </w:t>
      </w:r>
      <w:r w:rsidR="003A2816">
        <w:rPr>
          <w:rFonts w:ascii="Arial" w:eastAsia="Arial" w:hAnsi="Arial" w:cs="Arial"/>
          <w:color w:val="1F1A17"/>
          <w:sz w:val="20"/>
          <w:szCs w:val="20"/>
        </w:rPr>
        <w:t>ayrıca Hindistan’da</w:t>
      </w:r>
      <w:r>
        <w:rPr>
          <w:rFonts w:ascii="Arial" w:eastAsia="Arial" w:hAnsi="Arial" w:cs="Arial"/>
          <w:color w:val="1F1A17"/>
          <w:sz w:val="20"/>
          <w:szCs w:val="20"/>
        </w:rPr>
        <w:t xml:space="preserve"> araştırma ve geliştirme (Ar-Ge) merkezleri kurmada ispatlanmış ilgileri vardır; örneğin, AbbotLaboratoriesBioconLtd'nin sözleşmeli araştırma iştirakıSyngene ile işbirliği yaparak, Hindistan'da beslenme ürünleri geliştirmek için bir Ar-Ge merkezi kurmak için planlarını açıklamış; ABD ve Kanada dışında MSD olarak bilinen ABD ilaç firması Merck, tahmini olarak </w:t>
      </w:r>
      <w:r w:rsidR="003A2816">
        <w:rPr>
          <w:rFonts w:ascii="Arial" w:eastAsia="Arial" w:hAnsi="Arial" w:cs="Arial"/>
          <w:color w:val="1F1A17"/>
          <w:sz w:val="20"/>
          <w:szCs w:val="20"/>
        </w:rPr>
        <w:t>133,93</w:t>
      </w:r>
      <w:r>
        <w:rPr>
          <w:rFonts w:ascii="Arial" w:eastAsia="Arial" w:hAnsi="Arial" w:cs="Arial"/>
          <w:color w:val="1F1A17"/>
          <w:sz w:val="20"/>
          <w:szCs w:val="20"/>
        </w:rPr>
        <w:t xml:space="preserve"> milyon USD maliyetle Yeni Delhi'de aşıların geliştirilmesi için bir laboratuvar kurmayı planlamaktadır.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93"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8176" behindDoc="1" locked="0" layoutInCell="0" allowOverlap="1">
            <wp:simplePos x="0" y="0"/>
            <wp:positionH relativeFrom="page">
              <wp:posOffset>0</wp:posOffset>
            </wp:positionH>
            <wp:positionV relativeFrom="page">
              <wp:posOffset>377190</wp:posOffset>
            </wp:positionV>
            <wp:extent cx="7880350" cy="9897110"/>
            <wp:effectExtent l="0" t="0" r="0" b="0"/>
            <wp:wrapNone/>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97670" name="Picture 180"/>
                    <pic:cNvPicPr>
                      <a:picLocks noChangeAspect="1" noChangeArrowheads="1"/>
                    </pic:cNvPicPr>
                  </pic:nvPicPr>
                  <pic:blipFill>
                    <a:blip xmlns:r="http://schemas.openxmlformats.org/officeDocument/2006/relationships" r:embed="rId5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Ticaret ve Sanayi Bakanlığı'nın parçası olan ve ülkede DYY (doğrudan yabancı yatırım) politikasını formüle etmekten sorumlu olan Sanayi Politikası ve Tanıtım Departmanına (DIPP) göre, Nisan 2000-Nisan 2011 dönemi için hastaneler ve teşhis sektöründe Hindistan'a toplam DYY girişi 1 milyar USD olmuştur.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Buna ek olarak, Hindistan artık ülkedeki ucuz maliyetler ve tedaviler nedeniyle, medikal turizm için ilk hedef olarak kabul edilmektedir. Sanayi tahminlerine göre, Hindistan sağlık turizminin piyasa büyüklüğü yılda </w:t>
      </w:r>
      <w:r w:rsidR="003A2816">
        <w:rPr>
          <w:rFonts w:ascii="Arial" w:eastAsia="Arial" w:hAnsi="Arial" w:cs="Arial"/>
          <w:color w:val="1F1A17"/>
          <w:sz w:val="20"/>
          <w:szCs w:val="20"/>
        </w:rPr>
        <w:t>2,5</w:t>
      </w:r>
      <w:r>
        <w:rPr>
          <w:rFonts w:ascii="Arial" w:eastAsia="Arial" w:hAnsi="Arial" w:cs="Arial"/>
          <w:color w:val="1F1A17"/>
          <w:sz w:val="20"/>
          <w:szCs w:val="20"/>
        </w:rPr>
        <w:t xml:space="preserve"> milyar doların yani %25'in üzerinde büyümektedir. Sektörün büyüyen iş potansiyeli, ITC Grubunu tıbbi turistlere hizmet etmek amacıyla, Mumbai yakınlarında Thane Jüpiter LifeLine Hastaneler kompleksinde 58 odalı Fortune Park Lake City iş hoteli kurmaya teşvik etmiştir.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Çoğu uluslararası hasta Afrika, SAARC ve Batı Asya'dandır. Daha üstün üçüncül bakım gerektiren hastalar artık kardiyoloji, ortopedi, nöroloji, onkoloji ve organ nakli için Hindistan'a gelmektedir. Hindistan'da tedaviyi karşılama yeterliliği, maliyetler yurtdışındaki maliyetlerin sadece %10'u ila %20'si olması nedeniyle, önemli bir hasta çekme faktörüdür.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Hint sağlık alanında yerli ve yabancı aktörler için bir dizi piyasa fırsatının yer aldığı başlıca alanlar medikal turizm, sağlık sigortası, teletıp ve tıbbi donanımı kapsamaktadır.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P="00493D0A">
      <w:pPr>
        <w:widowControl w:val="0"/>
        <w:overflowPunct w:val="0"/>
        <w:autoSpaceDE w:val="0"/>
        <w:autoSpaceDN w:val="0"/>
        <w:adjustRightInd w:val="0"/>
        <w:spacing w:after="0" w:line="278" w:lineRule="auto"/>
        <w:jc w:val="both"/>
        <w:rPr>
          <w:rFonts w:ascii="Arial" w:eastAsia="Arial" w:hAnsi="Arial" w:cs="Arial"/>
          <w:color w:val="1F1A17"/>
          <w:sz w:val="20"/>
          <w:szCs w:val="20"/>
        </w:rPr>
      </w:pPr>
      <w:r>
        <w:rPr>
          <w:rFonts w:ascii="Arial" w:eastAsia="Arial" w:hAnsi="Arial" w:cs="Arial"/>
          <w:color w:val="1F1A17"/>
          <w:sz w:val="20"/>
          <w:szCs w:val="20"/>
        </w:rPr>
        <w:t xml:space="preserve">Sağlık sektöründeki büyümenin ana unsurları Hindistan'ın gelişen nüfusu; büyüyen orta sınıf; artan satın alma gücü; enfeksiyöz, kronik dejeneratif ve yaşam tarzı hastalıklarındaki </w:t>
      </w:r>
      <w:r w:rsidR="003A2816">
        <w:rPr>
          <w:rFonts w:ascii="Arial" w:eastAsia="Arial" w:hAnsi="Arial" w:cs="Arial"/>
          <w:color w:val="1F1A17"/>
          <w:sz w:val="20"/>
          <w:szCs w:val="20"/>
        </w:rPr>
        <w:t>artış</w:t>
      </w:r>
      <w:r>
        <w:rPr>
          <w:rFonts w:ascii="Arial" w:eastAsia="Arial" w:hAnsi="Arial" w:cs="Arial"/>
          <w:color w:val="1F1A17"/>
          <w:sz w:val="20"/>
          <w:szCs w:val="20"/>
        </w:rPr>
        <w:t xml:space="preserve"> ve kişisel sağlık bilincinin yükselmesidir.</w:t>
      </w:r>
    </w:p>
    <w:p w:rsidR="00493D0A" w:rsidP="00493D0A">
      <w:pPr>
        <w:widowControl w:val="0"/>
        <w:overflowPunct w:val="0"/>
        <w:autoSpaceDE w:val="0"/>
        <w:autoSpaceDN w:val="0"/>
        <w:adjustRightInd w:val="0"/>
        <w:spacing w:after="0" w:line="278" w:lineRule="auto"/>
        <w:jc w:val="both"/>
        <w:rPr>
          <w:rFonts w:ascii="Arial" w:eastAsia="Arial" w:hAnsi="Arial" w:cs="Arial"/>
          <w:color w:val="1F1A17"/>
          <w:sz w:val="20"/>
          <w:szCs w:val="20"/>
        </w:rPr>
      </w:pPr>
    </w:p>
    <w:p w:rsidR="00493D0A" w:rsidRPr="00302271" w:rsidP="00493D0A">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color w:val="0A408A"/>
          <w:sz w:val="30"/>
          <w:szCs w:val="30"/>
        </w:rPr>
        <w:t xml:space="preserve">Kimya ve Petro-kimya Sektörü </w:t>
      </w:r>
    </w:p>
    <w:p w:rsidR="00493D0A" w:rsidRPr="00302271" w:rsidP="00493D0A">
      <w:pPr>
        <w:widowControl w:val="0"/>
        <w:autoSpaceDE w:val="0"/>
        <w:autoSpaceDN w:val="0"/>
        <w:adjustRightInd w:val="0"/>
        <w:spacing w:after="0" w:line="215"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color w:val="E87817"/>
          <w:sz w:val="26"/>
          <w:szCs w:val="26"/>
        </w:rPr>
        <w:t>Türkiye</w:t>
      </w:r>
    </w:p>
    <w:p w:rsidR="00493D0A" w:rsidRPr="00302271" w:rsidP="00493D0A">
      <w:pPr>
        <w:widowControl w:val="0"/>
        <w:autoSpaceDE w:val="0"/>
        <w:autoSpaceDN w:val="0"/>
        <w:adjustRightInd w:val="0"/>
        <w:spacing w:after="0" w:line="259"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 xml:space="preserve">Türkiye büyümekte olan bir kimyasal ürün endüstrisine (CPI) sahiptir, ancak ciddi </w:t>
      </w:r>
      <w:r w:rsidRPr="00302271" w:rsidR="003A2816">
        <w:rPr>
          <w:rFonts w:ascii="Arial" w:hAnsi="Arial" w:cs="Arial"/>
          <w:color w:val="1F1A17"/>
        </w:rPr>
        <w:t>ölçüde esas</w:t>
      </w:r>
      <w:r w:rsidRPr="00302271">
        <w:rPr>
          <w:rFonts w:ascii="Arial" w:hAnsi="Arial" w:cs="Arial"/>
          <w:color w:val="1F1A17"/>
        </w:rPr>
        <w:t xml:space="preserve"> kimyasallar, ham kimyasal maddeler ve hazır ürünlerin ithalatına dayanmaktadır. Kimyasal ithalat </w:t>
      </w:r>
      <w:r w:rsidRPr="00302271" w:rsidR="003A2816">
        <w:rPr>
          <w:rFonts w:ascii="Arial" w:hAnsi="Arial" w:cs="Arial"/>
          <w:color w:val="1F1A17"/>
        </w:rPr>
        <w:t>malları, fosil</w:t>
      </w:r>
      <w:r w:rsidRPr="00302271">
        <w:rPr>
          <w:rFonts w:ascii="Arial" w:hAnsi="Arial" w:cs="Arial"/>
          <w:color w:val="1F1A17"/>
        </w:rPr>
        <w:t xml:space="preserve"> yakıttan sonra ülkedeki ikinci </w:t>
      </w:r>
      <w:r w:rsidRPr="00302271" w:rsidR="003A2816">
        <w:rPr>
          <w:rFonts w:ascii="Arial" w:hAnsi="Arial" w:cs="Arial"/>
          <w:color w:val="1F1A17"/>
        </w:rPr>
        <w:t>büyük ithalat</w:t>
      </w:r>
      <w:r w:rsidRPr="00302271">
        <w:rPr>
          <w:rFonts w:ascii="Arial" w:hAnsi="Arial" w:cs="Arial"/>
          <w:color w:val="1F1A17"/>
        </w:rPr>
        <w:t xml:space="preserve"> maddesidir. Son dört yıl içinde kimyasal ürünlerinin dış ticareti üç katına çıkmıştır. </w:t>
      </w:r>
    </w:p>
    <w:p w:rsidR="00493D0A" w:rsidRPr="00302271" w:rsidP="00493D0A">
      <w:pPr>
        <w:widowControl w:val="0"/>
        <w:autoSpaceDE w:val="0"/>
        <w:autoSpaceDN w:val="0"/>
        <w:adjustRightInd w:val="0"/>
        <w:spacing w:after="0" w:line="220"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8" w:lineRule="auto"/>
        <w:jc w:val="both"/>
        <w:rPr>
          <w:rFonts w:ascii="Times New Roman" w:hAnsi="Times New Roman"/>
          <w:sz w:val="24"/>
          <w:szCs w:val="24"/>
        </w:rPr>
      </w:pPr>
      <w:r w:rsidRPr="00302271">
        <w:rPr>
          <w:rFonts w:ascii="Arial" w:hAnsi="Arial" w:cs="Arial"/>
          <w:color w:val="1F1A17"/>
        </w:rPr>
        <w:t>Ülkedeki CPI genel olarak, Petro-kimya ve basit kimyasallar, sentetik fiber, plastik ürünler, tarım kimyasalları, endüstriyel gazlar, aşındırıcılar, patlayıcılar, kimyasal gübreler, tekstil kimyasalları, boya, soda, silgi, far</w:t>
      </w:r>
      <w:r w:rsidR="003A2816">
        <w:rPr>
          <w:rFonts w:ascii="Arial" w:hAnsi="Arial" w:cs="Arial"/>
          <w:color w:val="1F1A17"/>
        </w:rPr>
        <w:t>masötikler, yapışkanlar, krom</w:t>
      </w:r>
      <w:r w:rsidRPr="00302271">
        <w:rPr>
          <w:rFonts w:ascii="Arial" w:hAnsi="Arial" w:cs="Arial"/>
          <w:color w:val="1F1A17"/>
        </w:rPr>
        <w:t xml:space="preserve"> kimyasallar, boron</w:t>
      </w:r>
      <w:r w:rsidRPr="00302271" w:rsidR="003A2816">
        <w:rPr>
          <w:rFonts w:ascii="Arial" w:hAnsi="Arial" w:cs="Arial"/>
          <w:color w:val="1F1A17"/>
        </w:rPr>
        <w:t>kimyasalları, sodyum</w:t>
      </w:r>
      <w:r w:rsidRPr="00302271">
        <w:rPr>
          <w:rFonts w:ascii="Arial" w:hAnsi="Arial" w:cs="Arial"/>
          <w:color w:val="1F1A17"/>
        </w:rPr>
        <w:t xml:space="preserve"> sülfat, kişisel bakım ürünleri, sabun ve deterjan, eteri yağları ve kozmetik imalatçılarına bölünmüştür.</w:t>
      </w:r>
    </w:p>
    <w:p w:rsidR="00493D0A" w:rsidRPr="00302271" w:rsidP="00493D0A">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7A5FF2" w:rsidRPr="0087022D" w:rsidP="007A5FF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302271" w:rsidP="00493D0A">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p>
    <w:p w:rsidR="00493D0A" w:rsidRPr="00302271" w:rsidP="00493D0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5344" behindDoc="1" locked="0" layoutInCell="0" allowOverlap="1">
            <wp:simplePos x="0" y="0"/>
            <wp:positionH relativeFrom="page">
              <wp:posOffset>0</wp:posOffset>
            </wp:positionH>
            <wp:positionV relativeFrom="page">
              <wp:posOffset>0</wp:posOffset>
            </wp:positionV>
            <wp:extent cx="7880350" cy="9446895"/>
            <wp:effectExtent l="0" t="0" r="0" b="0"/>
            <wp:wrapNone/>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85036" name="Picture 192"/>
                    <pic:cNvPicPr>
                      <a:picLocks noChangeAspect="1" noChangeArrowheads="1"/>
                    </pic:cNvPicPr>
                  </pic:nvPicPr>
                  <pic:blipFill>
                    <a:blip xmlns:r="http://schemas.openxmlformats.org/officeDocument/2006/relationships" r:embed="rId5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29" w:lineRule="exact"/>
        <w:rPr>
          <w:rFonts w:ascii="Times New Roman" w:hAnsi="Times New Roman"/>
          <w:sz w:val="24"/>
          <w:szCs w:val="24"/>
        </w:rPr>
      </w:pPr>
    </w:p>
    <w:p w:rsidR="00493D0A" w:rsidRPr="00302271" w:rsidP="00493D0A">
      <w:pPr>
        <w:widowControl w:val="0"/>
        <w:autoSpaceDE w:val="0"/>
        <w:autoSpaceDN w:val="0"/>
        <w:adjustRightInd w:val="0"/>
        <w:spacing w:after="0" w:line="211"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 xml:space="preserve">Türkiye’nin azımsanamayacak ekonomik gelişimi endüstrisinin güçlü duruşu </w:t>
      </w:r>
      <w:r w:rsidRPr="00302271" w:rsidR="003A2816">
        <w:rPr>
          <w:rFonts w:ascii="Arial" w:hAnsi="Arial" w:cs="Arial"/>
          <w:color w:val="1F1A17"/>
        </w:rPr>
        <w:t>ile birleştiğinde; Türkiye’nin</w:t>
      </w:r>
      <w:r w:rsidRPr="00302271">
        <w:rPr>
          <w:rFonts w:ascii="Arial" w:hAnsi="Arial" w:cs="Arial"/>
          <w:color w:val="1F1A17"/>
        </w:rPr>
        <w:t xml:space="preserve"> kimyasal endüstrisi için yeterli gelişim olanakları sunmaktadır. Üretim değeri, 2006-2011 yılları arasında %9 oranıyla aynı </w:t>
      </w:r>
      <w:r w:rsidRPr="00302271" w:rsidR="003A2816">
        <w:rPr>
          <w:rFonts w:ascii="Arial" w:hAnsi="Arial" w:cs="Arial"/>
          <w:color w:val="1F1A17"/>
        </w:rPr>
        <w:t>derecede yüksek</w:t>
      </w:r>
      <w:r w:rsidRPr="00302271">
        <w:rPr>
          <w:rFonts w:ascii="Arial" w:hAnsi="Arial" w:cs="Arial"/>
          <w:color w:val="1F1A17"/>
        </w:rPr>
        <w:t xml:space="preserve"> CAGR </w:t>
      </w:r>
      <w:r w:rsidR="00094157">
        <w:rPr>
          <w:rFonts w:ascii="Arial" w:hAnsi="Arial" w:cs="Arial"/>
          <w:color w:val="1F1A17"/>
        </w:rPr>
        <w:t xml:space="preserve">(Yıllık Bileşik Büyüme Oranı) </w:t>
      </w:r>
      <w:r w:rsidRPr="00302271">
        <w:rPr>
          <w:rFonts w:ascii="Arial" w:hAnsi="Arial" w:cs="Arial"/>
          <w:color w:val="1F1A17"/>
        </w:rPr>
        <w:t xml:space="preserve">tarafından, 2011 yılında neredeyse 37 milyar ABD dolarına </w:t>
      </w:r>
      <w:r w:rsidRPr="00302271" w:rsidR="003A2816">
        <w:rPr>
          <w:rFonts w:ascii="Arial" w:hAnsi="Arial" w:cs="Arial"/>
          <w:color w:val="1F1A17"/>
        </w:rPr>
        <w:t>yaklaşarak, hızla</w:t>
      </w:r>
      <w:r w:rsidRPr="00302271">
        <w:rPr>
          <w:rFonts w:ascii="Arial" w:hAnsi="Arial" w:cs="Arial"/>
          <w:color w:val="1F1A17"/>
        </w:rPr>
        <w:t xml:space="preserve"> yükselmektedir.  2010-2011 yılları arasındaki %11’lik artış gelecek adına umut vericidir. </w:t>
      </w:r>
    </w:p>
    <w:p w:rsidR="00493D0A" w:rsidRPr="00302271" w:rsidP="00493D0A">
      <w:pPr>
        <w:widowControl w:val="0"/>
        <w:autoSpaceDE w:val="0"/>
        <w:autoSpaceDN w:val="0"/>
        <w:adjustRightInd w:val="0"/>
        <w:spacing w:after="0" w:line="220"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Türkiye’nin ihracat gelişimi, 2007 yılında 12 milyar dolar ABD dolarından 2012 yılında 20 milyar ABD dolarına yükselerek iki haneli rakamlara ulaşmıştır. Komşu marketlere yakınlık ve bu marketlere olan talepteki artış Türkiye’yi çok stratejik bir avantajlı noktaya koymaktadır. Toplam ihracatın %</w:t>
      </w:r>
      <w:r w:rsidRPr="00302271" w:rsidR="003A2816">
        <w:rPr>
          <w:rFonts w:ascii="Arial" w:hAnsi="Arial" w:cs="Arial"/>
          <w:color w:val="1F1A17"/>
        </w:rPr>
        <w:t>9,4’ünü</w:t>
      </w:r>
      <w:r w:rsidRPr="00302271">
        <w:rPr>
          <w:rFonts w:ascii="Arial" w:hAnsi="Arial" w:cs="Arial"/>
          <w:color w:val="1F1A17"/>
        </w:rPr>
        <w:t xml:space="preserve"> kapsayan Mısır, Türkiye’nin en büyük ihracat marketidir,  %6 oranla Irak ve yaklaşık %5 oranla Almanya tarafından takip edilmektedir.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jc w:val="both"/>
        <w:rPr>
          <w:rFonts w:ascii="Arial" w:hAnsi="Arial" w:cs="Arial"/>
          <w:color w:val="1F1A17"/>
        </w:rPr>
      </w:pPr>
      <w:r w:rsidRPr="00302271">
        <w:rPr>
          <w:rFonts w:ascii="Arial" w:hAnsi="Arial" w:cs="Arial"/>
          <w:color w:val="1F1A17"/>
        </w:rPr>
        <w:t xml:space="preserve">Türkiye,  Avrupa Birliği ana pazar olmak üzere, eski SSCB, Doğu Avrupa ve Orta Doğu </w:t>
      </w:r>
      <w:r w:rsidRPr="00302271" w:rsidR="003A2816">
        <w:rPr>
          <w:rFonts w:ascii="Arial" w:hAnsi="Arial" w:cs="Arial"/>
          <w:color w:val="1F1A17"/>
        </w:rPr>
        <w:t>dâhil</w:t>
      </w:r>
      <w:r w:rsidRPr="00302271">
        <w:rPr>
          <w:rFonts w:ascii="Arial" w:hAnsi="Arial" w:cs="Arial"/>
          <w:color w:val="1F1A17"/>
        </w:rPr>
        <w:t xml:space="preserve"> 180 ulusla ihracat yapmaktadır. Plastik </w:t>
      </w:r>
      <w:r w:rsidRPr="00302271" w:rsidR="003A2816">
        <w:rPr>
          <w:rFonts w:ascii="Arial" w:hAnsi="Arial" w:cs="Arial"/>
          <w:color w:val="1F1A17"/>
        </w:rPr>
        <w:t>ve plastik</w:t>
      </w:r>
      <w:r w:rsidRPr="00302271">
        <w:rPr>
          <w:rFonts w:ascii="Arial" w:hAnsi="Arial" w:cs="Arial"/>
          <w:color w:val="1F1A17"/>
        </w:rPr>
        <w:t xml:space="preserve"> ürünler %37’lik payla en büyük ihraç maddesidir. Esnek ara yığın taşıyıcılar, torbalar ve polietilen ya da polipropilen kapaklı </w:t>
      </w:r>
      <w:r w:rsidRPr="00302271" w:rsidR="003A2816">
        <w:rPr>
          <w:rFonts w:ascii="Arial" w:hAnsi="Arial" w:cs="Arial"/>
          <w:color w:val="1F1A17"/>
        </w:rPr>
        <w:t>çantalar ve</w:t>
      </w:r>
      <w:r w:rsidRPr="00302271">
        <w:rPr>
          <w:rFonts w:ascii="Arial" w:hAnsi="Arial" w:cs="Arial"/>
          <w:color w:val="1F1A17"/>
        </w:rPr>
        <w:t xml:space="preserve"> etilen polimer çantalar, tabaklar, yapraklar, folyo, plastik kaplama materyalleri bu maddelere öncülük </w:t>
      </w:r>
      <w:r w:rsidRPr="00302271" w:rsidR="003A2816">
        <w:rPr>
          <w:rFonts w:ascii="Arial" w:hAnsi="Arial" w:cs="Arial"/>
          <w:color w:val="1F1A17"/>
        </w:rPr>
        <w:t>etmektedir.</w:t>
      </w:r>
      <w:r w:rsidRPr="00302271">
        <w:rPr>
          <w:rFonts w:ascii="Arial" w:hAnsi="Arial" w:cs="Arial"/>
          <w:color w:val="1F1A17"/>
        </w:rPr>
        <w:t xml:space="preserve"> Tekerlek ve lastiği kapsayan kauçuk ürünler CPI’nın</w:t>
      </w:r>
      <w:r w:rsidR="00094157">
        <w:rPr>
          <w:rFonts w:ascii="Arial" w:hAnsi="Arial" w:cs="Arial"/>
          <w:color w:val="1F1A17"/>
        </w:rPr>
        <w:t xml:space="preserve">(Tüketici Fiyat Endeksi) </w:t>
      </w:r>
      <w:r w:rsidRPr="00302271">
        <w:rPr>
          <w:rFonts w:ascii="Arial" w:hAnsi="Arial" w:cs="Arial"/>
          <w:color w:val="1F1A17"/>
        </w:rPr>
        <w:t xml:space="preserve">%19’unu oluşturur ve Türkiye’nin ikinci büyük kimyasal ihraç ürünüdür.  Diğer büyük CPI ihraç ürünleri, sabun, deterjan, inorganik kimyasallar, farmosötikler, boyalar, pigment, sentetik iplikler esansiyel yağ ve kozmetikten oluşmaktadır. </w:t>
      </w:r>
    </w:p>
    <w:p w:rsidR="00493D0A" w:rsidRPr="00302271" w:rsidP="00493D0A">
      <w:pPr>
        <w:widowControl w:val="0"/>
        <w:autoSpaceDE w:val="0"/>
        <w:autoSpaceDN w:val="0"/>
        <w:adjustRightInd w:val="0"/>
        <w:spacing w:after="0" w:line="292"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b/>
          <w:bCs/>
          <w:color w:val="E87817"/>
        </w:rPr>
        <w:t xml:space="preserve">Türkiye Kimyasal İmalat Endüstrisinde FDI </w:t>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96" w:lineRule="exact"/>
        <w:rPr>
          <w:rFonts w:ascii="Times New Roman" w:hAnsi="Times New Roman"/>
          <w:sz w:val="24"/>
          <w:szCs w:val="24"/>
        </w:rPr>
      </w:pPr>
    </w:p>
    <w:tbl>
      <w:tblPr>
        <w:tblW w:w="0" w:type="auto"/>
        <w:tblInd w:w="760" w:type="dxa"/>
        <w:tblLayout w:type="fixed"/>
        <w:tblCellMar>
          <w:left w:w="0" w:type="dxa"/>
          <w:right w:w="0" w:type="dxa"/>
        </w:tblCellMar>
        <w:tblLook w:val="0000"/>
      </w:tblPr>
      <w:tblGrid>
        <w:gridCol w:w="200"/>
        <w:gridCol w:w="500"/>
        <w:gridCol w:w="20"/>
      </w:tblGrid>
      <w:tr w:rsidTr="00036A52">
        <w:tblPrEx>
          <w:tblW w:w="0" w:type="auto"/>
          <w:tblInd w:w="760" w:type="dxa"/>
          <w:tblLayout w:type="fixed"/>
          <w:tblCellMar>
            <w:left w:w="0" w:type="dxa"/>
            <w:right w:w="0" w:type="dxa"/>
          </w:tblCellMar>
          <w:tblLook w:val="0000"/>
        </w:tblPrEx>
        <w:trPr>
          <w:trHeight w:val="190"/>
        </w:trPr>
        <w:tc>
          <w:tcPr>
            <w:tcW w:w="2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Arial" w:hAnsi="Arial" w:cs="Arial"/>
                <w:color w:val="1F1A17"/>
                <w:sz w:val="16"/>
                <w:szCs w:val="16"/>
              </w:rPr>
            </w:pPr>
          </w:p>
          <w:p w:rsidR="00493D0A" w:rsidRPr="00302271" w:rsidP="00036A52">
            <w:pPr>
              <w:widowControl w:val="0"/>
              <w:autoSpaceDE w:val="0"/>
              <w:autoSpaceDN w:val="0"/>
              <w:adjustRightInd w:val="0"/>
              <w:spacing w:after="0" w:line="240" w:lineRule="auto"/>
              <w:jc w:val="right"/>
              <w:rPr>
                <w:rFonts w:ascii="Arial" w:hAnsi="Arial" w:cs="Arial"/>
                <w:color w:val="1F1A17"/>
                <w:sz w:val="16"/>
                <w:szCs w:val="16"/>
              </w:rPr>
            </w:pPr>
          </w:p>
          <w:p w:rsidR="00493D0A" w:rsidRPr="00302271" w:rsidP="00036A52">
            <w:pPr>
              <w:widowControl w:val="0"/>
              <w:autoSpaceDE w:val="0"/>
              <w:autoSpaceDN w:val="0"/>
              <w:adjustRightInd w:val="0"/>
              <w:spacing w:after="0" w:line="240" w:lineRule="auto"/>
              <w:jc w:val="right"/>
              <w:rPr>
                <w:rFonts w:ascii="Arial" w:hAnsi="Arial" w:cs="Arial"/>
                <w:color w:val="1F1A17"/>
                <w:sz w:val="16"/>
                <w:szCs w:val="16"/>
              </w:rPr>
            </w:pPr>
          </w:p>
          <w:p w:rsidR="00493D0A" w:rsidRPr="00302271" w:rsidP="00036A52">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color w:val="1F1A17"/>
                <w:sz w:val="16"/>
                <w:szCs w:val="16"/>
              </w:rPr>
              <w:t>1,400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300"/>
        </w:trPr>
        <w:tc>
          <w:tcPr>
            <w:tcW w:w="2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1,200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293"/>
        </w:trPr>
        <w:tc>
          <w:tcPr>
            <w:tcW w:w="200" w:type="dxa"/>
            <w:vMerge w:val="restart"/>
            <w:tcBorders>
              <w:top w:val="nil"/>
              <w:left w:val="nil"/>
              <w:bottom w:val="nil"/>
              <w:right w:val="nil"/>
            </w:tcBorders>
            <w:textDirection w:val="btLr"/>
            <w:vAlign w:val="bottom"/>
          </w:tcPr>
          <w:p w:rsidR="00493D0A" w:rsidRPr="00302271" w:rsidP="00036A52">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b/>
                <w:bCs/>
                <w:color w:val="1F1A17"/>
                <w:sz w:val="16"/>
                <w:szCs w:val="16"/>
              </w:rPr>
              <w:t>MİLYON</w:t>
            </w: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1,000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308"/>
        </w:trPr>
        <w:tc>
          <w:tcPr>
            <w:tcW w:w="200" w:type="dxa"/>
            <w:vMerge/>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800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128"/>
        </w:trPr>
        <w:tc>
          <w:tcPr>
            <w:tcW w:w="200" w:type="dxa"/>
            <w:vMerge/>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11"/>
                <w:szCs w:val="11"/>
              </w:rPr>
            </w:pPr>
          </w:p>
        </w:tc>
        <w:tc>
          <w:tcPr>
            <w:tcW w:w="500" w:type="dxa"/>
            <w:vMerge w:val="restart"/>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600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174"/>
        </w:trPr>
        <w:tc>
          <w:tcPr>
            <w:tcW w:w="200" w:type="dxa"/>
            <w:vMerge w:val="restart"/>
            <w:tcBorders>
              <w:top w:val="nil"/>
              <w:left w:val="nil"/>
              <w:bottom w:val="nil"/>
              <w:right w:val="nil"/>
            </w:tcBorders>
            <w:textDirection w:val="btLr"/>
            <w:vAlign w:val="bottom"/>
          </w:tcPr>
          <w:p w:rsidR="00493D0A" w:rsidRPr="00302271" w:rsidP="00036A52">
            <w:pPr>
              <w:widowControl w:val="0"/>
              <w:autoSpaceDE w:val="0"/>
              <w:autoSpaceDN w:val="0"/>
              <w:adjustRightInd w:val="0"/>
              <w:spacing w:after="0" w:line="206" w:lineRule="auto"/>
              <w:ind w:left="1"/>
              <w:rPr>
                <w:rFonts w:ascii="Times New Roman" w:hAnsi="Times New Roman"/>
                <w:sz w:val="24"/>
                <w:szCs w:val="24"/>
              </w:rPr>
            </w:pPr>
            <w:r w:rsidRPr="00302271">
              <w:rPr>
                <w:rFonts w:ascii="Arial" w:hAnsi="Arial" w:cs="Arial"/>
                <w:b/>
                <w:bCs/>
                <w:color w:val="1F1A17"/>
                <w:sz w:val="16"/>
                <w:szCs w:val="16"/>
              </w:rPr>
              <w:t>ABD</w:t>
            </w:r>
          </w:p>
        </w:tc>
        <w:tc>
          <w:tcPr>
            <w:tcW w:w="500" w:type="dxa"/>
            <w:vMerge/>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217"/>
        </w:trPr>
        <w:tc>
          <w:tcPr>
            <w:tcW w:w="200" w:type="dxa"/>
            <w:vMerge/>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18"/>
                <w:szCs w:val="18"/>
              </w:rPr>
            </w:pPr>
          </w:p>
        </w:tc>
        <w:tc>
          <w:tcPr>
            <w:tcW w:w="500" w:type="dxa"/>
            <w:vMerge w:val="restart"/>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400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69"/>
        </w:trPr>
        <w:tc>
          <w:tcPr>
            <w:tcW w:w="2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6"/>
                <w:szCs w:val="6"/>
              </w:rPr>
            </w:pPr>
          </w:p>
        </w:tc>
        <w:tc>
          <w:tcPr>
            <w:tcW w:w="500" w:type="dxa"/>
            <w:vMerge/>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288"/>
        </w:trPr>
        <w:tc>
          <w:tcPr>
            <w:tcW w:w="2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200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r w:rsidTr="00036A52">
        <w:tblPrEx>
          <w:tblW w:w="0" w:type="auto"/>
          <w:tblInd w:w="760" w:type="dxa"/>
          <w:tblLayout w:type="fixed"/>
          <w:tblCellMar>
            <w:left w:w="0" w:type="dxa"/>
            <w:right w:w="0" w:type="dxa"/>
          </w:tblCellMar>
          <w:tblLook w:val="0000"/>
        </w:tblPrEx>
        <w:trPr>
          <w:trHeight w:val="302"/>
        </w:trPr>
        <w:tc>
          <w:tcPr>
            <w:tcW w:w="2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jc w:val="right"/>
              <w:rPr>
                <w:rFonts w:ascii="Times New Roman" w:hAnsi="Times New Roman"/>
                <w:sz w:val="24"/>
                <w:szCs w:val="24"/>
              </w:rPr>
            </w:pPr>
            <w:r w:rsidRPr="00302271">
              <w:rPr>
                <w:rFonts w:ascii="Arial" w:hAnsi="Arial" w:cs="Arial"/>
                <w:color w:val="1F1A17"/>
                <w:sz w:val="16"/>
                <w:szCs w:val="16"/>
              </w:rPr>
              <w:t>0</w:t>
            </w:r>
          </w:p>
        </w:tc>
        <w:tc>
          <w:tcPr>
            <w:tcW w:w="20" w:type="dxa"/>
            <w:tcBorders>
              <w:top w:val="nil"/>
              <w:left w:val="nil"/>
              <w:bottom w:val="nil"/>
              <w:right w:val="nil"/>
            </w:tcBorders>
            <w:vAlign w:val="bottom"/>
          </w:tcPr>
          <w:p w:rsidR="00493D0A" w:rsidRPr="00302271" w:rsidP="00036A52">
            <w:pPr>
              <w:widowControl w:val="0"/>
              <w:autoSpaceDE w:val="0"/>
              <w:autoSpaceDN w:val="0"/>
              <w:adjustRightInd w:val="0"/>
              <w:spacing w:after="0" w:line="240" w:lineRule="auto"/>
              <w:rPr>
                <w:rFonts w:ascii="Times New Roman" w:hAnsi="Times New Roman"/>
                <w:sz w:val="2"/>
                <w:szCs w:val="2"/>
              </w:rPr>
            </w:pPr>
          </w:p>
        </w:tc>
      </w:tr>
    </w:tbl>
    <w:p w:rsidR="00493D0A" w:rsidRPr="00302271" w:rsidP="00493D0A">
      <w:pPr>
        <w:widowControl w:val="0"/>
        <w:autoSpaceDE w:val="0"/>
        <w:autoSpaceDN w:val="0"/>
        <w:adjustRightInd w:val="0"/>
        <w:spacing w:after="0" w:line="20" w:lineRule="exact"/>
        <w:rPr>
          <w:rFonts w:ascii="Times New Roman" w:hAnsi="Times New Roman"/>
          <w:sz w:val="24"/>
          <w:szCs w:val="24"/>
        </w:rPr>
      </w:pPr>
    </w:p>
    <w:p w:rsidR="00493D0A" w:rsidRPr="00302271" w:rsidP="00493D0A">
      <w:pPr>
        <w:widowControl w:val="0"/>
        <w:tabs>
          <w:tab w:val="left" w:pos="2840"/>
          <w:tab w:val="left" w:pos="3760"/>
          <w:tab w:val="left" w:pos="4700"/>
          <w:tab w:val="left" w:pos="5640"/>
          <w:tab w:val="left" w:pos="6540"/>
        </w:tabs>
        <w:autoSpaceDE w:val="0"/>
        <w:autoSpaceDN w:val="0"/>
        <w:adjustRightInd w:val="0"/>
        <w:spacing w:after="0" w:line="240" w:lineRule="auto"/>
        <w:ind w:left="1940"/>
        <w:rPr>
          <w:rFonts w:ascii="Times New Roman" w:hAnsi="Times New Roman"/>
          <w:sz w:val="24"/>
          <w:szCs w:val="24"/>
        </w:rPr>
      </w:pPr>
      <w:r w:rsidRPr="00302271">
        <w:rPr>
          <w:rFonts w:ascii="Arial" w:hAnsi="Arial" w:cs="Arial"/>
          <w:color w:val="1F1A17"/>
          <w:sz w:val="16"/>
          <w:szCs w:val="16"/>
        </w:rPr>
        <w:t>2007</w:t>
      </w:r>
      <w:r w:rsidRPr="00302271">
        <w:rPr>
          <w:rFonts w:ascii="Times New Roman" w:hAnsi="Times New Roman"/>
          <w:sz w:val="24"/>
          <w:szCs w:val="24"/>
        </w:rPr>
        <w:tab/>
      </w:r>
      <w:r w:rsidRPr="00302271">
        <w:rPr>
          <w:rFonts w:ascii="Arial" w:hAnsi="Arial" w:cs="Arial"/>
          <w:color w:val="1F1A17"/>
          <w:sz w:val="16"/>
          <w:szCs w:val="16"/>
        </w:rPr>
        <w:t>2008</w:t>
      </w:r>
      <w:r w:rsidRPr="00302271">
        <w:rPr>
          <w:rFonts w:ascii="Times New Roman" w:hAnsi="Times New Roman"/>
          <w:sz w:val="24"/>
          <w:szCs w:val="24"/>
        </w:rPr>
        <w:tab/>
      </w:r>
      <w:r w:rsidRPr="00302271">
        <w:rPr>
          <w:rFonts w:ascii="Arial" w:hAnsi="Arial" w:cs="Arial"/>
          <w:color w:val="1F1A17"/>
          <w:sz w:val="16"/>
          <w:szCs w:val="16"/>
        </w:rPr>
        <w:t>2009</w:t>
      </w:r>
      <w:r w:rsidRPr="00302271">
        <w:rPr>
          <w:rFonts w:ascii="Times New Roman" w:hAnsi="Times New Roman"/>
          <w:sz w:val="24"/>
          <w:szCs w:val="24"/>
        </w:rPr>
        <w:tab/>
      </w:r>
      <w:r w:rsidRPr="00302271">
        <w:rPr>
          <w:rFonts w:ascii="Arial" w:hAnsi="Arial" w:cs="Arial"/>
          <w:color w:val="1F1A17"/>
          <w:sz w:val="16"/>
          <w:szCs w:val="16"/>
        </w:rPr>
        <w:t>2010</w:t>
      </w:r>
      <w:r w:rsidRPr="00302271">
        <w:rPr>
          <w:rFonts w:ascii="Times New Roman" w:hAnsi="Times New Roman"/>
          <w:sz w:val="24"/>
          <w:szCs w:val="24"/>
        </w:rPr>
        <w:tab/>
      </w:r>
      <w:r w:rsidRPr="00302271">
        <w:rPr>
          <w:rFonts w:ascii="Arial" w:hAnsi="Arial" w:cs="Arial"/>
          <w:color w:val="1F1A17"/>
          <w:sz w:val="16"/>
          <w:szCs w:val="16"/>
        </w:rPr>
        <w:t>2011</w:t>
      </w:r>
      <w:r w:rsidRPr="00302271">
        <w:rPr>
          <w:rFonts w:ascii="Times New Roman" w:hAnsi="Times New Roman"/>
          <w:sz w:val="24"/>
          <w:szCs w:val="24"/>
        </w:rPr>
        <w:tab/>
      </w:r>
      <w:r w:rsidRPr="00302271">
        <w:rPr>
          <w:rFonts w:ascii="Arial" w:hAnsi="Arial" w:cs="Arial"/>
          <w:color w:val="1F1A17"/>
          <w:sz w:val="15"/>
          <w:szCs w:val="15"/>
        </w:rPr>
        <w:t>2012</w:t>
      </w:r>
    </w:p>
    <w:p w:rsidR="00493D0A" w:rsidRPr="00302271" w:rsidP="00493D0A">
      <w:pPr>
        <w:widowControl w:val="0"/>
        <w:autoSpaceDE w:val="0"/>
        <w:autoSpaceDN w:val="0"/>
        <w:adjustRightInd w:val="0"/>
        <w:spacing w:after="0" w:line="237"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ind w:firstLine="560"/>
        <w:rPr>
          <w:rFonts w:ascii="Times New Roman" w:hAnsi="Times New Roman"/>
          <w:sz w:val="24"/>
          <w:szCs w:val="24"/>
        </w:rPr>
      </w:pPr>
      <w:r w:rsidRPr="00302271">
        <w:rPr>
          <w:rFonts w:ascii="Arial" w:hAnsi="Arial" w:cs="Arial"/>
          <w:color w:val="1F1A17"/>
          <w:sz w:val="16"/>
          <w:szCs w:val="16"/>
        </w:rPr>
        <w:t xml:space="preserve">Kauçuk ve Plastik Ürün imalatı </w:t>
      </w:r>
    </w:p>
    <w:p w:rsidR="00493D0A" w:rsidRPr="00302271" w:rsidP="00493D0A">
      <w:pPr>
        <w:widowControl w:val="0"/>
        <w:autoSpaceDE w:val="0"/>
        <w:autoSpaceDN w:val="0"/>
        <w:adjustRightInd w:val="0"/>
        <w:spacing w:after="0" w:line="146"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449" w:lineRule="auto"/>
        <w:ind w:left="560" w:right="540"/>
        <w:rPr>
          <w:rFonts w:ascii="Arial" w:hAnsi="Arial" w:cs="Arial"/>
          <w:color w:val="1F1A17"/>
          <w:sz w:val="16"/>
          <w:szCs w:val="16"/>
        </w:rPr>
      </w:pPr>
      <w:r w:rsidRPr="00302271">
        <w:rPr>
          <w:rFonts w:ascii="Arial" w:hAnsi="Arial" w:cs="Arial"/>
          <w:color w:val="1F1A17"/>
          <w:sz w:val="16"/>
          <w:szCs w:val="16"/>
        </w:rPr>
        <w:t xml:space="preserve">Kimyasallar, Kimyasal Ürün ve Ana farmasötik Ürünlerin İmalatı </w:t>
      </w:r>
    </w:p>
    <w:p w:rsidR="00493D0A" w:rsidRPr="00302271" w:rsidP="00493D0A">
      <w:pPr>
        <w:widowControl w:val="0"/>
        <w:overflowPunct w:val="0"/>
        <w:autoSpaceDE w:val="0"/>
        <w:autoSpaceDN w:val="0"/>
        <w:adjustRightInd w:val="0"/>
        <w:spacing w:after="0" w:line="449" w:lineRule="auto"/>
        <w:ind w:left="560" w:right="540"/>
        <w:rPr>
          <w:rFonts w:ascii="Times New Roman" w:hAnsi="Times New Roman"/>
          <w:sz w:val="24"/>
          <w:szCs w:val="24"/>
        </w:rPr>
      </w:pPr>
      <w:r w:rsidRPr="00302271">
        <w:rPr>
          <w:rFonts w:ascii="Arial" w:hAnsi="Arial" w:cs="Arial"/>
          <w:color w:val="1F1A17"/>
          <w:sz w:val="16"/>
          <w:szCs w:val="16"/>
        </w:rPr>
        <w:t xml:space="preserve">Materyal </w:t>
      </w:r>
      <w:r w:rsidRPr="00302271" w:rsidR="003A2816">
        <w:rPr>
          <w:rFonts w:ascii="Arial" w:hAnsi="Arial" w:cs="Arial"/>
          <w:color w:val="1F1A17"/>
          <w:sz w:val="16"/>
          <w:szCs w:val="16"/>
        </w:rPr>
        <w:t>Kaynağı: CBRT</w:t>
      </w:r>
    </w:p>
    <w:p w:rsidR="00493D0A" w:rsidRPr="00302271" w:rsidP="00493D0A">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381"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3A2816">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493D0A" w:rsidRPr="00302271" w:rsidP="00493D0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6368" behindDoc="1" locked="0" layoutInCell="0" allowOverlap="1">
            <wp:simplePos x="0" y="0"/>
            <wp:positionH relativeFrom="page">
              <wp:posOffset>0</wp:posOffset>
            </wp:positionH>
            <wp:positionV relativeFrom="page">
              <wp:posOffset>377190</wp:posOffset>
            </wp:positionV>
            <wp:extent cx="7880350" cy="9897110"/>
            <wp:effectExtent l="0" t="0" r="0" b="0"/>
            <wp:wrapNone/>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6797" name="Picture 193"/>
                    <pic:cNvPicPr>
                      <a:picLocks noChangeAspect="1" noChangeArrowheads="1"/>
                    </pic:cNvPicPr>
                  </pic:nvPicPr>
                  <pic:blipFill>
                    <a:blip xmlns:r="http://schemas.openxmlformats.org/officeDocument/2006/relationships" r:embed="rId6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29"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 xml:space="preserve">Türkiye’nin kimyasal </w:t>
      </w:r>
      <w:r w:rsidRPr="00302271" w:rsidR="003A2816">
        <w:rPr>
          <w:rFonts w:ascii="Arial" w:hAnsi="Arial" w:cs="Arial"/>
          <w:color w:val="1F1A17"/>
        </w:rPr>
        <w:t>ithalatı, 2012</w:t>
      </w:r>
      <w:r w:rsidRPr="00302271">
        <w:rPr>
          <w:rFonts w:ascii="Arial" w:hAnsi="Arial" w:cs="Arial"/>
          <w:color w:val="1F1A17"/>
        </w:rPr>
        <w:t xml:space="preserve"> yılında, 2007 yılındaki 55 milyar ABD dolarından %10’luk CAGR </w:t>
      </w:r>
      <w:r w:rsidR="00094157">
        <w:rPr>
          <w:rFonts w:ascii="Arial" w:hAnsi="Arial" w:cs="Arial"/>
          <w:color w:val="1F1A17"/>
        </w:rPr>
        <w:t xml:space="preserve">(Yıllık Bileşik Büyüme Oranı) </w:t>
      </w:r>
      <w:r w:rsidRPr="00302271">
        <w:rPr>
          <w:rFonts w:ascii="Arial" w:hAnsi="Arial" w:cs="Arial"/>
          <w:color w:val="1F1A17"/>
        </w:rPr>
        <w:t xml:space="preserve">büyümesi göstererek, 90 milyar ABD dolarından fazlasına yükselmiştir.  Türkiye’nin birincil ithalat ortağı %36 payla Rusçadır,%21lik oranla İran, %8 ile İtalya ve %7 ile Almanya tarafından takip edilmektedir.  2013 yılında yapılan toplam ithalat 88 milyar ABD dolarına gerilemiştir. Ham maddeler ve yarı işlenmiş ürünler Türkiye kimyasal ithalatının yaklaşık %90’ını oluşturmaktadır.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95" w:lineRule="auto"/>
        <w:jc w:val="both"/>
        <w:rPr>
          <w:rFonts w:ascii="Arial" w:hAnsi="Arial" w:cs="Arial"/>
          <w:color w:val="1F1A17"/>
          <w:sz w:val="21"/>
          <w:szCs w:val="21"/>
        </w:rPr>
      </w:pPr>
      <w:r w:rsidRPr="00302271">
        <w:rPr>
          <w:rFonts w:ascii="Arial" w:hAnsi="Arial" w:cs="Arial"/>
          <w:color w:val="1F1A17"/>
          <w:sz w:val="21"/>
          <w:szCs w:val="21"/>
        </w:rPr>
        <w:t xml:space="preserve">Türkiye, 50 milyar dolara ulaşan kimyasal ihracatı ile küresel kimyasal market payın %0.79’unu almak gibi iddialı 2023 hedeflerine sahiptir </w:t>
      </w:r>
      <w:r w:rsidRPr="00302271" w:rsidR="003A2816">
        <w:rPr>
          <w:rFonts w:ascii="Arial" w:hAnsi="Arial" w:cs="Arial"/>
          <w:color w:val="1F1A17"/>
          <w:sz w:val="21"/>
          <w:szCs w:val="21"/>
        </w:rPr>
        <w:t>Hükümet ayrıca</w:t>
      </w:r>
      <w:r w:rsidRPr="00302271">
        <w:rPr>
          <w:rFonts w:ascii="Arial" w:hAnsi="Arial" w:cs="Arial"/>
          <w:color w:val="1F1A17"/>
          <w:sz w:val="21"/>
          <w:szCs w:val="21"/>
        </w:rPr>
        <w:t xml:space="preserve"> ülkenin ithalat bağımlılığını ortadan kaldırmak üzere kimya endüstrisi için stratejik bir planı çoktan yayımlamıştır. </w:t>
      </w:r>
    </w:p>
    <w:p w:rsidR="00493D0A" w:rsidRPr="00302271" w:rsidP="00493D0A">
      <w:pPr>
        <w:widowControl w:val="0"/>
        <w:autoSpaceDE w:val="0"/>
        <w:autoSpaceDN w:val="0"/>
        <w:adjustRightInd w:val="0"/>
        <w:spacing w:after="0" w:line="203"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8" w:lineRule="auto"/>
        <w:jc w:val="both"/>
        <w:rPr>
          <w:rFonts w:ascii="Times New Roman" w:hAnsi="Times New Roman"/>
          <w:sz w:val="24"/>
          <w:szCs w:val="24"/>
        </w:rPr>
      </w:pPr>
      <w:r w:rsidRPr="00302271">
        <w:rPr>
          <w:rFonts w:ascii="Arial" w:hAnsi="Arial" w:cs="Arial"/>
          <w:color w:val="1F1A17"/>
        </w:rPr>
        <w:t xml:space="preserve">Türkiye 207 yılında, </w:t>
      </w:r>
      <w:r w:rsidRPr="00302271" w:rsidR="003A2816">
        <w:rPr>
          <w:rFonts w:ascii="Arial" w:hAnsi="Arial" w:cs="Arial"/>
          <w:color w:val="1F1A17"/>
        </w:rPr>
        <w:t>1,1</w:t>
      </w:r>
      <w:r w:rsidRPr="00302271">
        <w:rPr>
          <w:rFonts w:ascii="Arial" w:hAnsi="Arial" w:cs="Arial"/>
          <w:color w:val="1F1A17"/>
        </w:rPr>
        <w:t xml:space="preserve"> milyar dolardan fazlası ile kimyasal üretimde en yüksek FDI miktarına </w:t>
      </w:r>
      <w:r w:rsidRPr="00302271" w:rsidR="003A2816">
        <w:rPr>
          <w:rFonts w:ascii="Arial" w:hAnsi="Arial" w:cs="Arial"/>
          <w:color w:val="1F1A17"/>
        </w:rPr>
        <w:t>ulaşmıştır. Endüstriye</w:t>
      </w:r>
      <w:r w:rsidRPr="00302271">
        <w:rPr>
          <w:rFonts w:ascii="Arial" w:hAnsi="Arial" w:cs="Arial"/>
          <w:color w:val="1F1A17"/>
        </w:rPr>
        <w:t xml:space="preserve"> gelen FDI </w:t>
      </w:r>
      <w:r w:rsidR="00094157">
        <w:rPr>
          <w:rFonts w:ascii="Arial" w:hAnsi="Arial" w:cs="Arial"/>
          <w:color w:val="1F1A17"/>
        </w:rPr>
        <w:t xml:space="preserve">(Yabancı Doğrudan Yatırım) </w:t>
      </w:r>
      <w:r w:rsidRPr="00302271">
        <w:rPr>
          <w:rFonts w:ascii="Arial" w:hAnsi="Arial" w:cs="Arial"/>
          <w:color w:val="1F1A17"/>
        </w:rPr>
        <w:t xml:space="preserve">akışı ile 2012 yılında,  2008 yılındaki %27 CAGR’ dan  yaklaşık 1 milyar ABD dolarına artış olmuştur. 2010dan 2013 yılına kadar Türk Kimya Endüstrisindeki M&amp;A’lar 800 milyon dolardan fazlasına tekabül etmektedir.  </w:t>
      </w:r>
    </w:p>
    <w:p w:rsidR="00493D0A" w:rsidRPr="00302271" w:rsidP="00493D0A">
      <w:pPr>
        <w:widowControl w:val="0"/>
        <w:autoSpaceDE w:val="0"/>
        <w:autoSpaceDN w:val="0"/>
        <w:adjustRightInd w:val="0"/>
        <w:spacing w:after="0" w:line="222"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b/>
          <w:bCs/>
          <w:color w:val="E87817"/>
        </w:rPr>
        <w:t>Petrokimyasallar</w:t>
      </w:r>
    </w:p>
    <w:p w:rsidR="00493D0A" w:rsidRPr="00302271" w:rsidP="00493D0A">
      <w:pPr>
        <w:widowControl w:val="0"/>
        <w:autoSpaceDE w:val="0"/>
        <w:autoSpaceDN w:val="0"/>
        <w:adjustRightInd w:val="0"/>
        <w:spacing w:after="0" w:line="263"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8" w:lineRule="auto"/>
        <w:jc w:val="both"/>
        <w:rPr>
          <w:rFonts w:ascii="Times New Roman" w:hAnsi="Times New Roman"/>
          <w:sz w:val="24"/>
          <w:szCs w:val="24"/>
        </w:rPr>
      </w:pPr>
      <w:r w:rsidRPr="00302271">
        <w:rPr>
          <w:rFonts w:ascii="Arial" w:hAnsi="Arial" w:cs="Arial"/>
          <w:color w:val="1F1A17"/>
        </w:rPr>
        <w:t>Yılda yaklaşık %11’lik ortalama artışla, Türkiye’de Petro-</w:t>
      </w:r>
      <w:r w:rsidRPr="00302271" w:rsidR="003A2816">
        <w:rPr>
          <w:rFonts w:ascii="Arial" w:hAnsi="Arial" w:cs="Arial"/>
          <w:color w:val="1F1A17"/>
        </w:rPr>
        <w:t>kimyasal talebi</w:t>
      </w:r>
      <w:r w:rsidRPr="00302271">
        <w:rPr>
          <w:rFonts w:ascii="Arial" w:hAnsi="Arial" w:cs="Arial"/>
          <w:color w:val="1F1A17"/>
        </w:rPr>
        <w:t xml:space="preserve"> düzenli şekilde yükselmektedir. 1991 yılında 2 milyon ton olan toplam yerel Petro kimya talebi 2 milyon tonken, 2003 yılında 4.100 milyon ton, 2009 yılında ise yaklaşık beş katına çıkarak 9.500 milyon ton olmuştur.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jc w:val="both"/>
        <w:rPr>
          <w:rFonts w:ascii="Times New Roman" w:hAnsi="Times New Roman"/>
          <w:sz w:val="24"/>
          <w:szCs w:val="24"/>
        </w:rPr>
      </w:pPr>
      <w:r w:rsidRPr="00302271">
        <w:rPr>
          <w:rFonts w:ascii="Arial" w:hAnsi="Arial" w:cs="Arial"/>
          <w:color w:val="1F1A17"/>
        </w:rPr>
        <w:t xml:space="preserve">Termoplastik talebinin, 2015 yılı itibariyle, ithalatta büyük bir patlama </w:t>
      </w:r>
      <w:r w:rsidRPr="00302271" w:rsidR="003A2816">
        <w:rPr>
          <w:rFonts w:ascii="Arial" w:hAnsi="Arial" w:cs="Arial"/>
          <w:color w:val="1F1A17"/>
        </w:rPr>
        <w:t>yaratıp Türkiye</w:t>
      </w:r>
      <w:r w:rsidRPr="00302271">
        <w:rPr>
          <w:rFonts w:ascii="Arial" w:hAnsi="Arial" w:cs="Arial"/>
          <w:color w:val="1F1A17"/>
        </w:rPr>
        <w:t xml:space="preserve"> üretim kapasitesini yedi kat aşacağı beklenmektedir, İstanbul Sanayi Odası (ISO) bunu kimya endüstrisi üzerine düzenlediği raporda belirtmiştir. 2010 yılında lastik ham madde arz </w:t>
      </w:r>
      <w:r w:rsidRPr="00302271" w:rsidR="003A2816">
        <w:rPr>
          <w:rFonts w:ascii="Arial" w:hAnsi="Arial" w:cs="Arial"/>
          <w:color w:val="1F1A17"/>
        </w:rPr>
        <w:t>darlığı yıllık</w:t>
      </w:r>
      <w:r w:rsidRPr="00302271">
        <w:rPr>
          <w:rFonts w:ascii="Arial" w:hAnsi="Arial" w:cs="Arial"/>
          <w:color w:val="1F1A17"/>
        </w:rPr>
        <w:t xml:space="preserve"> yaklaşık 272.000 tondu. ISO raporuna göre, 2015 yılında var olan </w:t>
      </w:r>
      <w:r w:rsidRPr="00302271" w:rsidR="003A2816">
        <w:rPr>
          <w:rFonts w:ascii="Arial" w:hAnsi="Arial" w:cs="Arial"/>
          <w:color w:val="1F1A17"/>
        </w:rPr>
        <w:t>ekonomik kuruluşlar</w:t>
      </w:r>
      <w:r w:rsidRPr="00302271">
        <w:rPr>
          <w:rFonts w:ascii="Arial" w:hAnsi="Arial" w:cs="Arial"/>
          <w:color w:val="1F1A17"/>
        </w:rPr>
        <w:t xml:space="preserve"> sona ereceği </w:t>
      </w:r>
      <w:r w:rsidRPr="00302271" w:rsidR="003A2816">
        <w:rPr>
          <w:rFonts w:ascii="Arial" w:hAnsi="Arial" w:cs="Arial"/>
          <w:color w:val="1F1A17"/>
        </w:rPr>
        <w:t>için Türkiye’de</w:t>
      </w:r>
      <w:r w:rsidRPr="00302271">
        <w:rPr>
          <w:rFonts w:ascii="Arial" w:hAnsi="Arial" w:cs="Arial"/>
          <w:color w:val="1F1A17"/>
        </w:rPr>
        <w:t xml:space="preserve"> ki termoplastik üretimi sona erecektir ve yeni büyük yatırımlara ihtiyaç duyulacaktır. </w:t>
      </w:r>
    </w:p>
    <w:p w:rsidR="00493D0A" w:rsidRPr="00302271" w:rsidP="00493D0A">
      <w:pPr>
        <w:widowControl w:val="0"/>
        <w:autoSpaceDE w:val="0"/>
        <w:autoSpaceDN w:val="0"/>
        <w:adjustRightInd w:val="0"/>
        <w:spacing w:after="0" w:line="224"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Türkiye, 1996</w:t>
      </w:r>
      <w:r w:rsidRPr="00302271">
        <w:rPr>
          <w:rFonts w:ascii="Arial" w:hAnsi="Arial" w:cs="Arial"/>
          <w:color w:val="1F1A17"/>
        </w:rPr>
        <w:t xml:space="preserve"> yılında Avrupa Birliği ile gümrük birliğine girdikten sonra büyük </w:t>
      </w:r>
      <w:r w:rsidRPr="00302271">
        <w:rPr>
          <w:rFonts w:ascii="Arial" w:hAnsi="Arial" w:cs="Arial"/>
          <w:color w:val="1F1A17"/>
        </w:rPr>
        <w:t>bir Petro</w:t>
      </w:r>
      <w:r w:rsidRPr="00302271">
        <w:rPr>
          <w:rFonts w:ascii="Arial" w:hAnsi="Arial" w:cs="Arial"/>
          <w:color w:val="1F1A17"/>
        </w:rPr>
        <w:t xml:space="preserve"> kimyasal itha</w:t>
      </w:r>
      <w:r w:rsidR="00094157">
        <w:rPr>
          <w:rFonts w:ascii="Arial" w:hAnsi="Arial" w:cs="Arial"/>
          <w:color w:val="1F1A17"/>
        </w:rPr>
        <w:t>latçısı haline gelmiştir. AB’de</w:t>
      </w:r>
      <w:r w:rsidRPr="00302271">
        <w:rPr>
          <w:rFonts w:ascii="Arial" w:hAnsi="Arial" w:cs="Arial"/>
          <w:color w:val="1F1A17"/>
        </w:rPr>
        <w:t xml:space="preserve">ki üreticiler Türkiye talebini hızla arttıran,  etilen, kaprolaktam,andpolivinilklorid, polipropilen, düşük yoğunluklu polipropilen ve diğer ürünlerde kıtlık yaşamaktadır. </w:t>
      </w:r>
    </w:p>
    <w:p w:rsidR="00493D0A" w:rsidRPr="00302271" w:rsidP="00493D0A">
      <w:pPr>
        <w:widowControl w:val="0"/>
        <w:autoSpaceDE w:val="0"/>
        <w:autoSpaceDN w:val="0"/>
        <w:adjustRightInd w:val="0"/>
        <w:spacing w:after="0" w:line="220"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Türk hükümeti gelecek yıllarda şirketlerin yeni yatırımlar yapmalarını sağlamak ve endüstriyi rekabetçi hale getirmek adına kapsamlı teşvik tedbirleri için kimya endüstrisini tahsis etmiştir. Avrupa Birliğine tam üyelik adayı olan Tükiye’de küçük ve orta çaplı Türk kimya şirketleri araştırma ve geliştirme programları geliştirmek adına AB fonlarından yararlanmaktadır..</w:t>
      </w:r>
    </w:p>
    <w:p w:rsidR="00493D0A" w:rsidRPr="00302271" w:rsidP="00493D0A">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4980" w:bottom="320" w:left="1440" w:header="708" w:footer="708" w:gutter="0"/>
          <w:cols w:space="708" w:equalWidth="0">
            <w:col w:w="6000"/>
          </w:cols>
          <w:noEndnote/>
        </w:sectPr>
      </w:pPr>
      <w:r w:rsidRPr="007C5F5A">
        <w:rPr>
          <w:rFonts w:ascii="Arial" w:hAnsi="Arial" w:cs="Arial"/>
          <w:color w:val="1F1A17"/>
          <w:sz w:val="17"/>
          <w:szCs w:val="17"/>
        </w:rPr>
        <w:t xml:space="preserve">HİNDİSTAN-TÜRKİYE Ticari ve Ekonomik </w:t>
      </w:r>
      <w:r w:rsidRPr="007C5F5A" w:rsidR="0068530C">
        <w:rPr>
          <w:rFonts w:ascii="Arial" w:hAnsi="Arial" w:cs="Arial"/>
          <w:color w:val="1F1A17"/>
          <w:sz w:val="17"/>
          <w:szCs w:val="17"/>
        </w:rPr>
        <w:t>İlişkiler: Gelecek</w:t>
      </w:r>
      <w:r w:rsidRPr="007C5F5A">
        <w:rPr>
          <w:rFonts w:ascii="Arial" w:hAnsi="Arial" w:cs="Arial"/>
          <w:color w:val="1F1A17"/>
          <w:sz w:val="17"/>
          <w:szCs w:val="17"/>
        </w:rPr>
        <w:t xml:space="preserve"> Beklentileri  </w:t>
      </w:r>
    </w:p>
    <w:p w:rsidR="00493D0A" w:rsidRPr="00302271" w:rsidP="00493D0A">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7880350" cy="9446895"/>
            <wp:effectExtent l="0" t="0" r="0" b="0"/>
            <wp:wrapNone/>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065" name="Picture 194"/>
                    <pic:cNvPicPr>
                      <a:picLocks noChangeAspect="1" noChangeArrowheads="1"/>
                    </pic:cNvPicPr>
                  </pic:nvPicPr>
                  <pic:blipFill>
                    <a:blip xmlns:r="http://schemas.openxmlformats.org/officeDocument/2006/relationships" r:embed="rId6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391"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pPr>
      <w:r w:rsidRPr="00302271">
        <w:rPr>
          <w:rFonts w:ascii="Arial" w:hAnsi="Arial" w:cs="Arial"/>
          <w:color w:val="E87817"/>
          <w:sz w:val="26"/>
          <w:szCs w:val="26"/>
        </w:rPr>
        <w:t>Hindistan</w:t>
      </w:r>
    </w:p>
    <w:p w:rsidR="00493D0A" w:rsidRPr="00302271" w:rsidP="00493D0A">
      <w:pPr>
        <w:widowControl w:val="0"/>
        <w:autoSpaceDE w:val="0"/>
        <w:autoSpaceDN w:val="0"/>
        <w:adjustRightInd w:val="0"/>
        <w:spacing w:after="0" w:line="259"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jc w:val="both"/>
        <w:rPr>
          <w:rFonts w:ascii="Times New Roman" w:hAnsi="Times New Roman"/>
          <w:sz w:val="24"/>
          <w:szCs w:val="24"/>
        </w:rPr>
      </w:pPr>
      <w:r w:rsidRPr="00302271">
        <w:rPr>
          <w:rFonts w:ascii="Arial" w:hAnsi="Arial" w:cs="Arial"/>
          <w:color w:val="1F1A17"/>
        </w:rPr>
        <w:t>Kimyasal üretimi hacmi açısından, Hindistan Çin ve Japonya’dan sonra Asya’da üçüncü sırada, dünyada ise 12. Sıradadır. 2012-2013 yılında Hint kimya endüstrisinin beklenen hasılatı yaklaşık 144 milyar ABD dolarıdır (Rs 782,949 crore</w:t>
      </w:r>
      <w:r w:rsidR="00094157">
        <w:rPr>
          <w:rFonts w:ascii="Arial" w:hAnsi="Arial" w:cs="Arial"/>
          <w:color w:val="1F1A17"/>
        </w:rPr>
        <w:t>-10 milyonluk Hindistan birimi</w:t>
      </w:r>
      <w:r w:rsidRPr="00302271">
        <w:rPr>
          <w:rFonts w:ascii="Arial" w:hAnsi="Arial" w:cs="Arial"/>
          <w:color w:val="1F1A17"/>
        </w:rPr>
        <w:t xml:space="preserve">). Hindistan boya maddesi </w:t>
      </w:r>
      <w:r w:rsidRPr="00302271" w:rsidR="0068530C">
        <w:rPr>
          <w:rFonts w:ascii="Arial" w:hAnsi="Arial" w:cs="Arial"/>
          <w:color w:val="1F1A17"/>
        </w:rPr>
        <w:t>ve boya</w:t>
      </w:r>
      <w:r w:rsidRPr="00302271">
        <w:rPr>
          <w:rFonts w:ascii="Arial" w:hAnsi="Arial" w:cs="Arial"/>
          <w:color w:val="1F1A17"/>
        </w:rPr>
        <w:t xml:space="preserve"> kökenli ürünler için dünyadaki üretimin %16sını elinde tutmaktadır. 2013-14 yılları </w:t>
      </w:r>
      <w:r w:rsidRPr="00302271" w:rsidR="0068530C">
        <w:rPr>
          <w:rFonts w:ascii="Arial" w:hAnsi="Arial" w:cs="Arial"/>
          <w:color w:val="1F1A17"/>
        </w:rPr>
        <w:t>arasında Hindistan’da</w:t>
      </w:r>
      <w:r w:rsidRPr="00302271">
        <w:rPr>
          <w:rFonts w:ascii="Arial" w:hAnsi="Arial" w:cs="Arial"/>
          <w:color w:val="1F1A17"/>
        </w:rPr>
        <w:t xml:space="preserve"> ki toplam asıl kimyasal üretimi 19.308 bin metre küp tondu. Farklı alanlara yönlendirilmiş sektörlerden biri olarak </w:t>
      </w:r>
      <w:r w:rsidRPr="00302271" w:rsidR="0068530C">
        <w:rPr>
          <w:rFonts w:ascii="Arial" w:hAnsi="Arial" w:cs="Arial"/>
          <w:color w:val="1F1A17"/>
        </w:rPr>
        <w:t>ve 70</w:t>
      </w:r>
      <w:r w:rsidRPr="00302271">
        <w:rPr>
          <w:rFonts w:ascii="Arial" w:hAnsi="Arial" w:cs="Arial"/>
          <w:color w:val="1F1A17"/>
        </w:rPr>
        <w:t>.</w:t>
      </w:r>
      <w:r w:rsidRPr="00302271" w:rsidR="0068530C">
        <w:rPr>
          <w:rFonts w:ascii="Arial" w:hAnsi="Arial" w:cs="Arial"/>
          <w:color w:val="1F1A17"/>
        </w:rPr>
        <w:t>000 ticari</w:t>
      </w:r>
      <w:r w:rsidRPr="00302271">
        <w:rPr>
          <w:rFonts w:ascii="Arial" w:hAnsi="Arial" w:cs="Arial"/>
          <w:color w:val="1F1A17"/>
        </w:rPr>
        <w:t xml:space="preserve"> ürün barındırarak bu </w:t>
      </w:r>
      <w:r w:rsidRPr="00302271" w:rsidR="0068530C">
        <w:rPr>
          <w:rFonts w:ascii="Arial" w:hAnsi="Arial" w:cs="Arial"/>
          <w:color w:val="1F1A17"/>
        </w:rPr>
        <w:t>sektör, tekstil</w:t>
      </w:r>
      <w:r w:rsidRPr="00302271">
        <w:rPr>
          <w:rFonts w:ascii="Arial" w:hAnsi="Arial" w:cs="Arial"/>
          <w:color w:val="1F1A17"/>
        </w:rPr>
        <w:t xml:space="preserve">, </w:t>
      </w:r>
      <w:r w:rsidRPr="00302271" w:rsidR="0068530C">
        <w:rPr>
          <w:rFonts w:ascii="Arial" w:hAnsi="Arial" w:cs="Arial"/>
          <w:color w:val="1F1A17"/>
        </w:rPr>
        <w:t>kâğıt</w:t>
      </w:r>
      <w:r w:rsidRPr="00302271">
        <w:rPr>
          <w:rFonts w:ascii="Arial" w:hAnsi="Arial" w:cs="Arial"/>
          <w:color w:val="1F1A17"/>
        </w:rPr>
        <w:t>, boya, vernik ve deri gibi çok çeşitli ürünlere kimyasal sağlamaktadır.</w:t>
      </w:r>
    </w:p>
    <w:p w:rsidR="00493D0A" w:rsidRPr="00302271" w:rsidP="00493D0A">
      <w:pPr>
        <w:widowControl w:val="0"/>
        <w:autoSpaceDE w:val="0"/>
        <w:autoSpaceDN w:val="0"/>
        <w:adjustRightInd w:val="0"/>
        <w:spacing w:after="0" w:line="222"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9" w:lineRule="auto"/>
        <w:jc w:val="both"/>
        <w:rPr>
          <w:rFonts w:ascii="Times New Roman" w:hAnsi="Times New Roman"/>
          <w:sz w:val="24"/>
          <w:szCs w:val="24"/>
        </w:rPr>
      </w:pPr>
      <w:r w:rsidRPr="00302271">
        <w:rPr>
          <w:rFonts w:ascii="Arial" w:hAnsi="Arial" w:cs="Arial"/>
          <w:color w:val="1F1A17"/>
        </w:rPr>
        <w:t xml:space="preserve">Yan sektörler açısından, Hint kimyasal endüstrisi  %53 pay ile asıl kimyasal, %24 pay ile farmasötik, % 18 pay ile ileri kimyasal, %3 ile biyoteknoloji, %2 pay ile kimyasal tarım maddelerinden oluşmaktadır.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8" w:lineRule="auto"/>
        <w:jc w:val="both"/>
        <w:rPr>
          <w:rFonts w:ascii="Times New Roman" w:hAnsi="Times New Roman"/>
          <w:sz w:val="24"/>
          <w:szCs w:val="24"/>
        </w:rPr>
      </w:pPr>
      <w:r w:rsidRPr="00302271">
        <w:rPr>
          <w:rFonts w:ascii="Arial" w:hAnsi="Arial" w:cs="Arial"/>
          <w:color w:val="1F1A17"/>
        </w:rPr>
        <w:t xml:space="preserve">Hindistan dünyadaki üçüncü büyük polimer </w:t>
      </w:r>
      <w:r w:rsidRPr="00302271" w:rsidR="0068530C">
        <w:rPr>
          <w:rFonts w:ascii="Arial" w:hAnsi="Arial" w:cs="Arial"/>
          <w:color w:val="1F1A17"/>
        </w:rPr>
        <w:t>tüketicisi</w:t>
      </w:r>
      <w:r w:rsidRPr="00302271">
        <w:rPr>
          <w:rFonts w:ascii="Arial" w:hAnsi="Arial" w:cs="Arial"/>
          <w:color w:val="1F1A17"/>
        </w:rPr>
        <w:t xml:space="preserve"> ve üçüncü büyük kimyasal tarım maddesi üreticisidir.  Güncel polimer üretimi yaklaşıl </w:t>
      </w:r>
      <w:r w:rsidRPr="00302271" w:rsidR="0068530C">
        <w:rPr>
          <w:rFonts w:ascii="Arial" w:hAnsi="Arial" w:cs="Arial"/>
          <w:color w:val="1F1A17"/>
        </w:rPr>
        <w:t>2,8</w:t>
      </w:r>
      <w:r w:rsidRPr="00302271">
        <w:rPr>
          <w:rFonts w:ascii="Arial" w:hAnsi="Arial" w:cs="Arial"/>
          <w:color w:val="1F1A17"/>
        </w:rPr>
        <w:t xml:space="preserve"> milyon ton ithalat ile 9 milyon ton civarındadır. Polimer talebinin, giyim, otomobil vs.’deki düzenli büyüme ile %8-10 civarında gelişmesi beklenmektedir.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 xml:space="preserve">Hindistan kimya endüstrisinin 2009-10 yılında yaklaşık 83 milyar ABD doları olması bekleniyordu.  Bu Hindistan’ın toplam GDP’sinin %5’i civarındadır. Kimya Endüstrisi ayrıca, toplam Hindistan ihracatının %13’ünü, ithalatının ise %8’ini oluşturmaktadır Sektör </w:t>
      </w:r>
      <w:r w:rsidR="0068530C">
        <w:rPr>
          <w:rFonts w:ascii="Arial" w:hAnsi="Arial" w:cs="Arial"/>
          <w:color w:val="1F1A17"/>
        </w:rPr>
        <w:t>toplanan vergi ve hacizlerle</w:t>
      </w:r>
      <w:r w:rsidRPr="00302271" w:rsidR="0068530C">
        <w:rPr>
          <w:rFonts w:ascii="Arial" w:hAnsi="Arial" w:cs="Arial"/>
          <w:color w:val="1F1A17"/>
        </w:rPr>
        <w:t xml:space="preserve"> ulusal</w:t>
      </w:r>
      <w:r w:rsidRPr="00302271">
        <w:rPr>
          <w:rFonts w:ascii="Arial" w:hAnsi="Arial" w:cs="Arial"/>
          <w:color w:val="1F1A17"/>
        </w:rPr>
        <w:t xml:space="preserve"> gelirin %20’sini kapsamaktadır. </w:t>
      </w:r>
    </w:p>
    <w:p w:rsidR="00493D0A" w:rsidRPr="00302271" w:rsidP="00493D0A">
      <w:pPr>
        <w:widowControl w:val="0"/>
        <w:autoSpaceDE w:val="0"/>
        <w:autoSpaceDN w:val="0"/>
        <w:adjustRightInd w:val="0"/>
        <w:spacing w:after="0" w:line="220"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7" w:lineRule="auto"/>
        <w:jc w:val="both"/>
        <w:rPr>
          <w:rFonts w:ascii="Times New Roman" w:hAnsi="Times New Roman"/>
          <w:sz w:val="24"/>
          <w:szCs w:val="24"/>
        </w:rPr>
      </w:pPr>
      <w:r w:rsidRPr="00302271">
        <w:rPr>
          <w:rFonts w:ascii="Arial" w:hAnsi="Arial" w:cs="Arial"/>
          <w:color w:val="1F1A17"/>
        </w:rPr>
        <w:t xml:space="preserve">Hintli şirketleri, güçlü </w:t>
      </w:r>
      <w:r w:rsidRPr="00302271" w:rsidR="0068530C">
        <w:rPr>
          <w:rFonts w:ascii="Arial" w:hAnsi="Arial" w:cs="Arial"/>
          <w:color w:val="1F1A17"/>
        </w:rPr>
        <w:t>temelleriyle, yabancı</w:t>
      </w:r>
      <w:r w:rsidRPr="00302271">
        <w:rPr>
          <w:rFonts w:ascii="Arial" w:hAnsi="Arial" w:cs="Arial"/>
          <w:color w:val="1F1A17"/>
        </w:rPr>
        <w:t xml:space="preserve"> sermaye yatırımcıları kimya sektörüne çekmektedir. Örneğin, StandatChartered Bankasının özel sermaye bölümü Mumbai- kaynaklı PriviOrganics’e 19 milyon ABD dolarlık yatırım yapmıştır. Aynı </w:t>
      </w:r>
      <w:r w:rsidRPr="00302271" w:rsidR="0068530C">
        <w:rPr>
          <w:rFonts w:ascii="Arial" w:hAnsi="Arial" w:cs="Arial"/>
          <w:color w:val="1F1A17"/>
        </w:rPr>
        <w:t>şekilde, küresel</w:t>
      </w:r>
      <w:r w:rsidRPr="00302271">
        <w:rPr>
          <w:rFonts w:ascii="Arial" w:hAnsi="Arial" w:cs="Arial"/>
          <w:color w:val="1F1A17"/>
        </w:rPr>
        <w:t xml:space="preserve"> varlık yöneticisi, Carlyle </w:t>
      </w:r>
      <w:r w:rsidRPr="00302271" w:rsidR="0068530C">
        <w:rPr>
          <w:rFonts w:ascii="Arial" w:hAnsi="Arial" w:cs="Arial"/>
          <w:color w:val="1F1A17"/>
        </w:rPr>
        <w:t>Grubu, bağlı</w:t>
      </w:r>
      <w:r w:rsidRPr="00302271">
        <w:rPr>
          <w:rFonts w:ascii="Arial" w:hAnsi="Arial" w:cs="Arial"/>
          <w:color w:val="1F1A17"/>
        </w:rPr>
        <w:t xml:space="preserve"> bir şirket First Carlyle Ventures III, yoluyla emülsiyon üreticisi VisenIndustries’e 25 milyon ABD dolarlık yatırım yapmıştır.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jc w:val="both"/>
        <w:rPr>
          <w:rFonts w:ascii="Times New Roman" w:hAnsi="Times New Roman"/>
          <w:sz w:val="24"/>
          <w:szCs w:val="24"/>
        </w:rPr>
      </w:pPr>
      <w:r w:rsidRPr="00302271">
        <w:rPr>
          <w:rFonts w:ascii="Arial" w:hAnsi="Arial" w:cs="Arial"/>
          <w:color w:val="1F1A17"/>
        </w:rPr>
        <w:t xml:space="preserve">Yabancı </w:t>
      </w:r>
      <w:r w:rsidRPr="00302271" w:rsidR="0068530C">
        <w:rPr>
          <w:rFonts w:ascii="Arial" w:hAnsi="Arial" w:cs="Arial"/>
          <w:color w:val="1F1A17"/>
        </w:rPr>
        <w:t>sermayeciler genişleme</w:t>
      </w:r>
      <w:r w:rsidRPr="00302271">
        <w:rPr>
          <w:rFonts w:ascii="Arial" w:hAnsi="Arial" w:cs="Arial"/>
          <w:color w:val="1F1A17"/>
        </w:rPr>
        <w:t xml:space="preserve"> yolu ile varlıklarını </w:t>
      </w:r>
      <w:r w:rsidRPr="00302271" w:rsidR="0068530C">
        <w:rPr>
          <w:rFonts w:ascii="Arial" w:hAnsi="Arial" w:cs="Arial"/>
          <w:color w:val="1F1A17"/>
        </w:rPr>
        <w:t>güçlendirmektedir. Borsa</w:t>
      </w:r>
      <w:r w:rsidRPr="00302271">
        <w:rPr>
          <w:rFonts w:ascii="Arial" w:hAnsi="Arial" w:cs="Arial"/>
          <w:color w:val="1F1A17"/>
        </w:rPr>
        <w:t xml:space="preserve"> dışı   (OTC)</w:t>
      </w:r>
      <w:r w:rsidR="00094157">
        <w:rPr>
          <w:rFonts w:ascii="Arial" w:hAnsi="Arial" w:cs="Arial"/>
          <w:color w:val="1F1A17"/>
        </w:rPr>
        <w:t xml:space="preserve">n </w:t>
      </w:r>
      <w:r w:rsidRPr="00302271">
        <w:rPr>
          <w:rFonts w:ascii="Arial" w:hAnsi="Arial" w:cs="Arial"/>
          <w:color w:val="1F1A17"/>
        </w:rPr>
        <w:t xml:space="preserve">Mumbai- kaynaklı Rus </w:t>
      </w:r>
      <w:r w:rsidRPr="00302271" w:rsidR="0068530C">
        <w:rPr>
          <w:rFonts w:ascii="Arial" w:hAnsi="Arial" w:cs="Arial"/>
          <w:color w:val="1F1A17"/>
        </w:rPr>
        <w:t>markası JB</w:t>
      </w:r>
      <w:r w:rsidRPr="00302271">
        <w:rPr>
          <w:rFonts w:ascii="Arial" w:hAnsi="Arial" w:cs="Arial"/>
          <w:color w:val="1F1A17"/>
        </w:rPr>
        <w:t xml:space="preserve"> Kimyasal &amp; Petro kimyasallar (JBCPL)yaklaşık 260 milyon ABD doları </w:t>
      </w:r>
      <w:r w:rsidRPr="00302271" w:rsidR="0068530C">
        <w:rPr>
          <w:rFonts w:ascii="Arial" w:hAnsi="Arial" w:cs="Arial"/>
          <w:color w:val="1F1A17"/>
        </w:rPr>
        <w:t>ile Johnson</w:t>
      </w:r>
      <w:r w:rsidRPr="00302271">
        <w:rPr>
          <w:rFonts w:ascii="Arial" w:hAnsi="Arial" w:cs="Arial"/>
          <w:color w:val="1F1A17"/>
        </w:rPr>
        <w:t>&amp; Johnson (J&amp;J) tarafından elde edilmiştir. Bir diğer örnek ise, INR 5,000 crore K. K. ModiGroup</w:t>
      </w:r>
      <w:r w:rsidRPr="00302271" w:rsidR="0068530C">
        <w:rPr>
          <w:rFonts w:ascii="Arial" w:hAnsi="Arial" w:cs="Arial"/>
          <w:color w:val="1F1A17"/>
        </w:rPr>
        <w:t>şirketi Indofil</w:t>
      </w:r>
      <w:r w:rsidRPr="00302271">
        <w:rPr>
          <w:rFonts w:ascii="Arial" w:hAnsi="Arial" w:cs="Arial"/>
          <w:color w:val="1F1A17"/>
        </w:rPr>
        <w:t xml:space="preserve">IndustriesLtd ile ortaklık </w:t>
      </w:r>
      <w:r w:rsidRPr="00302271" w:rsidR="0068530C">
        <w:rPr>
          <w:rFonts w:ascii="Arial" w:hAnsi="Arial" w:cs="Arial"/>
          <w:color w:val="1F1A17"/>
        </w:rPr>
        <w:t>kuran Çinli</w:t>
      </w:r>
      <w:r w:rsidRPr="00302271">
        <w:rPr>
          <w:rFonts w:ascii="Arial" w:hAnsi="Arial" w:cs="Arial"/>
          <w:color w:val="1F1A17"/>
        </w:rPr>
        <w:t xml:space="preserve">ShanghaiBaijinChemicalGroup’tur.  Bu ortaklık 40 milyon dolarlık yatırımla, GujaratDahej’ de karbon disülfir (CS {-2}) tesisinin kurulması </w:t>
      </w:r>
      <w:r w:rsidRPr="00302271" w:rsidR="0068530C">
        <w:rPr>
          <w:rFonts w:ascii="Arial" w:hAnsi="Arial" w:cs="Arial"/>
          <w:color w:val="1F1A17"/>
        </w:rPr>
        <w:t>sağlamıştır. Tesis</w:t>
      </w:r>
      <w:r w:rsidRPr="00302271">
        <w:rPr>
          <w:rFonts w:ascii="Arial" w:hAnsi="Arial" w:cs="Arial"/>
          <w:color w:val="1F1A17"/>
        </w:rPr>
        <w:t xml:space="preserve">, IndoBaijinChemicalsPvtLtd, yıllık 50.000tonluk  CS {-2} kapasitesine sahip olacaktır.  </w:t>
      </w:r>
    </w:p>
    <w:p w:rsidR="00493D0A" w:rsidRPr="00302271" w:rsidP="00493D0A">
      <w:pPr>
        <w:widowControl w:val="0"/>
        <w:autoSpaceDE w:val="0"/>
        <w:autoSpaceDN w:val="0"/>
        <w:adjustRightInd w:val="0"/>
        <w:spacing w:after="0" w:line="240" w:lineRule="auto"/>
        <w:rPr>
          <w:rFonts w:ascii="Times New Roman" w:hAnsi="Times New Roman"/>
          <w:sz w:val="24"/>
          <w:szCs w:val="24"/>
        </w:rPr>
        <w:sectPr>
          <w:pgSz w:w="12420" w:h="16180"/>
          <w:pgMar w:top="1440" w:right="1120" w:bottom="320" w:left="3380" w:header="708" w:footer="708" w:gutter="0"/>
          <w:cols w:space="708" w:equalWidth="0">
            <w:col w:w="7920"/>
          </w:cols>
          <w:noEndnote/>
        </w:sect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1" w:lineRule="exact"/>
        <w:rPr>
          <w:rFonts w:ascii="Times New Roman" w:hAnsi="Times New Roman"/>
          <w:sz w:val="24"/>
          <w:szCs w:val="24"/>
        </w:rPr>
      </w:pPr>
    </w:p>
    <w:p w:rsidR="00493D0A" w:rsidRPr="00302271" w:rsidP="00493D0A">
      <w:pPr>
        <w:widowControl w:val="0"/>
        <w:autoSpaceDE w:val="0"/>
        <w:autoSpaceDN w:val="0"/>
        <w:adjustRightInd w:val="0"/>
        <w:spacing w:after="0" w:line="240" w:lineRule="auto"/>
        <w:rPr>
          <w:rFonts w:ascii="Times New Roman" w:hAnsi="Times New Roman"/>
          <w:sz w:val="24"/>
          <w:szCs w:val="24"/>
        </w:rPr>
        <w:sectPr>
          <w:type w:val="continuous"/>
          <w:pgSz w:w="12420" w:h="16180"/>
          <w:pgMar w:top="1440" w:right="5000" w:bottom="320" w:left="1440" w:header="708" w:footer="708" w:gutter="0"/>
          <w:cols w:space="708" w:equalWidth="0">
            <w:col w:w="5980"/>
          </w:cols>
          <w:noEndnote/>
        </w:sectPr>
      </w:pPr>
      <w:r w:rsidRPr="007C5F5A">
        <w:rPr>
          <w:rFonts w:ascii="Arial" w:hAnsi="Arial" w:cs="Arial"/>
          <w:color w:val="1F1A17"/>
          <w:sz w:val="17"/>
          <w:szCs w:val="17"/>
        </w:rPr>
        <w:t xml:space="preserve">HİNDİSTAN-TÜRKİYE Ticari ve Ekonomik İlişkiler:Gelecek Beklentileri  </w:t>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229"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8" w:lineRule="auto"/>
        <w:jc w:val="both"/>
        <w:rPr>
          <w:rFonts w:ascii="Times New Roman" w:hAnsi="Times New Roman"/>
          <w:sz w:val="24"/>
          <w:szCs w:val="24"/>
        </w:rPr>
      </w:pPr>
      <w:r w:rsidRPr="00302271">
        <w:rPr>
          <w:rFonts w:ascii="Arial" w:hAnsi="Arial" w:cs="Arial"/>
          <w:color w:val="1F1A17"/>
        </w:rPr>
        <w:t>Hindistan Hükümeti kimya sektöründe %100 FDI’a</w:t>
      </w:r>
      <w:r w:rsidR="00094157">
        <w:rPr>
          <w:rFonts w:ascii="Arial" w:hAnsi="Arial" w:cs="Arial"/>
          <w:color w:val="1F1A17"/>
        </w:rPr>
        <w:t xml:space="preserve">(Yabancı Doğrudan Yatırım) </w:t>
      </w:r>
      <w:r w:rsidRPr="00302271">
        <w:rPr>
          <w:rFonts w:ascii="Arial" w:hAnsi="Arial" w:cs="Arial"/>
          <w:color w:val="1F1A17"/>
        </w:rPr>
        <w:t xml:space="preserve"> izin vermektedir. Organik, inorganik, boya maddesi ve zirai ilaçları kapsayan </w:t>
      </w:r>
      <w:r w:rsidRPr="00302271" w:rsidR="0068530C">
        <w:rPr>
          <w:rFonts w:ascii="Arial" w:hAnsi="Arial" w:cs="Arial"/>
          <w:color w:val="1F1A17"/>
        </w:rPr>
        <w:t>birçok</w:t>
      </w:r>
      <w:r w:rsidRPr="00302271">
        <w:rPr>
          <w:rFonts w:ascii="Arial" w:hAnsi="Arial" w:cs="Arial"/>
          <w:color w:val="1F1A17"/>
        </w:rPr>
        <w:t xml:space="preserve"> kimyasalın </w:t>
      </w:r>
      <w:r w:rsidRPr="00302271" w:rsidR="0068530C">
        <w:rPr>
          <w:rFonts w:ascii="Arial" w:hAnsi="Arial" w:cs="Arial"/>
          <w:color w:val="1F1A17"/>
        </w:rPr>
        <w:t>üretimi</w:t>
      </w:r>
      <w:r w:rsidRPr="00302271">
        <w:rPr>
          <w:rFonts w:ascii="Arial" w:hAnsi="Arial" w:cs="Arial"/>
          <w:color w:val="1F1A17"/>
        </w:rPr>
        <w:t xml:space="preserve"> için lisans gerekmemektedir. Sadece birkaç tehlikeli kimyasal üretimi için lisans gereklidir. </w:t>
      </w:r>
    </w:p>
    <w:p w:rsidR="00493D0A" w:rsidRPr="00302271" w:rsidP="00493D0A">
      <w:pPr>
        <w:widowControl w:val="0"/>
        <w:autoSpaceDE w:val="0"/>
        <w:autoSpaceDN w:val="0"/>
        <w:adjustRightInd w:val="0"/>
        <w:spacing w:after="0" w:line="218"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jc w:val="both"/>
        <w:rPr>
          <w:rFonts w:ascii="Times New Roman" w:hAnsi="Times New Roman"/>
          <w:sz w:val="24"/>
          <w:szCs w:val="24"/>
        </w:rPr>
      </w:pPr>
      <w:r w:rsidRPr="00302271">
        <w:rPr>
          <w:rFonts w:ascii="Arial" w:hAnsi="Arial" w:cs="Arial"/>
          <w:color w:val="1F1A17"/>
        </w:rPr>
        <w:t xml:space="preserve">Sanayi ve ticaret bakanlığına </w:t>
      </w:r>
      <w:r w:rsidRPr="00302271" w:rsidR="0068530C">
        <w:rPr>
          <w:rFonts w:ascii="Arial" w:hAnsi="Arial" w:cs="Arial"/>
          <w:color w:val="1F1A17"/>
        </w:rPr>
        <w:t>bağlı ve</w:t>
      </w:r>
      <w:r w:rsidRPr="00302271">
        <w:rPr>
          <w:rFonts w:ascii="Arial" w:hAnsi="Arial" w:cs="Arial"/>
          <w:color w:val="1F1A17"/>
        </w:rPr>
        <w:t xml:space="preserve"> ülkedeki FDI politikalarından sorumlu Endüstriyel Politika ve </w:t>
      </w:r>
      <w:r w:rsidRPr="00302271" w:rsidR="0068530C">
        <w:rPr>
          <w:rFonts w:ascii="Arial" w:hAnsi="Arial" w:cs="Arial"/>
          <w:color w:val="1F1A17"/>
        </w:rPr>
        <w:t>Promosyon Bölümüne</w:t>
      </w:r>
      <w:r w:rsidRPr="00302271">
        <w:rPr>
          <w:rFonts w:ascii="Arial" w:hAnsi="Arial" w:cs="Arial"/>
          <w:color w:val="1F1A17"/>
        </w:rPr>
        <w:t xml:space="preserve"> (DIPP)  göre, kimyasal sektörü 2000-2011 yılları arasında 2.927 milyon ABD doları tutarındaydı. Bugün, Hindistan, esas organik ve inorganik kimyasalların, zirai ilaç, boya, boya maddeleri ve makyaj malzemelerinin üretiminde belirgin bir varlık göstermektedir.  </w:t>
      </w:r>
    </w:p>
    <w:p w:rsidR="00493D0A" w:rsidRPr="00302271" w:rsidP="00493D0A">
      <w:pPr>
        <w:widowControl w:val="0"/>
        <w:autoSpaceDE w:val="0"/>
        <w:autoSpaceDN w:val="0"/>
        <w:adjustRightInd w:val="0"/>
        <w:spacing w:after="0" w:line="224" w:lineRule="exact"/>
        <w:rPr>
          <w:rFonts w:ascii="Times New Roman" w:hAnsi="Times New Roman"/>
          <w:sz w:val="24"/>
          <w:szCs w:val="24"/>
        </w:rPr>
      </w:pPr>
    </w:p>
    <w:p w:rsidR="00493D0A" w:rsidRPr="00302271" w:rsidP="00493D0A">
      <w:pPr>
        <w:widowControl w:val="0"/>
        <w:overflowPunct w:val="0"/>
        <w:autoSpaceDE w:val="0"/>
        <w:autoSpaceDN w:val="0"/>
        <w:adjustRightInd w:val="0"/>
        <w:spacing w:after="0" w:line="276" w:lineRule="auto"/>
        <w:ind w:firstLine="1"/>
        <w:jc w:val="both"/>
        <w:rPr>
          <w:rFonts w:ascii="Times New Roman" w:hAnsi="Times New Roman"/>
          <w:sz w:val="24"/>
          <w:szCs w:val="24"/>
        </w:rPr>
      </w:pPr>
      <w:r w:rsidRPr="00302271">
        <w:rPr>
          <w:rFonts w:ascii="Arial" w:hAnsi="Arial" w:cs="Arial"/>
          <w:color w:val="1F1A17"/>
        </w:rPr>
        <w:t xml:space="preserve">Hindistan, kimyasal ve Petro kimyasal sektöründe büyük bir değer zammı yapma potansiyeline sahiptir. Son zamanlarda, yatırımların satışa dönük Petro kimyasal </w:t>
      </w:r>
      <w:r w:rsidRPr="00302271" w:rsidR="0068530C">
        <w:rPr>
          <w:rFonts w:ascii="Arial" w:hAnsi="Arial" w:cs="Arial"/>
          <w:color w:val="1F1A17"/>
        </w:rPr>
        <w:t>tesisleri tarafından</w:t>
      </w:r>
      <w:r w:rsidRPr="00302271">
        <w:rPr>
          <w:rFonts w:ascii="Arial" w:hAnsi="Arial" w:cs="Arial"/>
          <w:color w:val="1F1A17"/>
        </w:rPr>
        <w:t xml:space="preserve"> petrol arıtımı </w:t>
      </w:r>
      <w:r w:rsidRPr="00302271" w:rsidR="0068530C">
        <w:rPr>
          <w:rFonts w:ascii="Arial" w:hAnsi="Arial" w:cs="Arial"/>
          <w:color w:val="1F1A17"/>
        </w:rPr>
        <w:t>yapılarak planlanmaktadır</w:t>
      </w:r>
      <w:r w:rsidRPr="00302271">
        <w:rPr>
          <w:rFonts w:ascii="Arial" w:hAnsi="Arial" w:cs="Arial"/>
          <w:color w:val="1F1A17"/>
        </w:rPr>
        <w:t xml:space="preserve">. </w:t>
      </w:r>
      <w:r w:rsidRPr="00302271" w:rsidR="0068530C">
        <w:rPr>
          <w:rFonts w:ascii="Arial" w:hAnsi="Arial" w:cs="Arial"/>
          <w:color w:val="1F1A17"/>
        </w:rPr>
        <w:t>Hindistan’daki</w:t>
      </w:r>
      <w:r w:rsidRPr="00302271">
        <w:rPr>
          <w:rFonts w:ascii="Arial" w:hAnsi="Arial" w:cs="Arial"/>
          <w:color w:val="1F1A17"/>
        </w:rPr>
        <w:t xml:space="preserve"> Polimerler, ileri kimyasallar, kimyasal tarım </w:t>
      </w:r>
      <w:r w:rsidRPr="00302271" w:rsidR="0068530C">
        <w:rPr>
          <w:rFonts w:ascii="Arial" w:hAnsi="Arial" w:cs="Arial"/>
          <w:color w:val="1F1A17"/>
        </w:rPr>
        <w:t>maddeleri</w:t>
      </w:r>
      <w:r w:rsidRPr="00302271">
        <w:rPr>
          <w:rFonts w:ascii="Arial" w:hAnsi="Arial" w:cs="Arial"/>
          <w:color w:val="1F1A17"/>
        </w:rPr>
        <w:t xml:space="preserve"> ve boya endüstrisi yüksek gelişim kapasitesine sahiptir. Mühendislik Polimerler için üretim tesislerini satışa çıkarma potansiyeli vardır.  Son zamanlarda, mühendislik </w:t>
      </w:r>
      <w:r w:rsidRPr="00302271" w:rsidR="0068530C">
        <w:rPr>
          <w:rFonts w:ascii="Arial" w:hAnsi="Arial" w:cs="Arial"/>
          <w:color w:val="1F1A17"/>
        </w:rPr>
        <w:t>polimerleri, çeşitli</w:t>
      </w:r>
      <w:r w:rsidRPr="00302271">
        <w:rPr>
          <w:rFonts w:ascii="Arial" w:hAnsi="Arial" w:cs="Arial"/>
          <w:color w:val="1F1A17"/>
        </w:rPr>
        <w:t xml:space="preserve"> katkı maddeleri ile birleştirerek </w:t>
      </w:r>
      <w:r w:rsidRPr="00302271" w:rsidR="0068530C">
        <w:rPr>
          <w:rFonts w:ascii="Arial" w:hAnsi="Arial" w:cs="Arial"/>
          <w:color w:val="1F1A17"/>
        </w:rPr>
        <w:t>özel uygulamalara</w:t>
      </w:r>
      <w:r w:rsidRPr="00302271">
        <w:rPr>
          <w:rFonts w:ascii="Arial" w:hAnsi="Arial" w:cs="Arial"/>
          <w:color w:val="1F1A17"/>
        </w:rPr>
        <w:t xml:space="preserve"> göre düzenlenmekte ve ihraç edilmektedir.  Sektör için donanımlı insan gücü </w:t>
      </w:r>
      <w:r w:rsidRPr="00302271" w:rsidR="0068530C">
        <w:rPr>
          <w:rFonts w:ascii="Arial" w:hAnsi="Arial" w:cs="Arial"/>
          <w:color w:val="1F1A17"/>
        </w:rPr>
        <w:t>ile</w:t>
      </w:r>
      <w:r w:rsidRPr="00302271">
        <w:rPr>
          <w:rFonts w:ascii="Arial" w:hAnsi="Arial" w:cs="Arial"/>
          <w:color w:val="1F1A17"/>
        </w:rPr>
        <w:t xml:space="preserve"> Otomobiller/elektronik eşyalar/ telekomünikasyon </w:t>
      </w:r>
      <w:r w:rsidRPr="00302271" w:rsidR="0068530C">
        <w:rPr>
          <w:rFonts w:ascii="Arial" w:hAnsi="Arial" w:cs="Arial"/>
          <w:color w:val="1F1A17"/>
        </w:rPr>
        <w:t>vs.</w:t>
      </w:r>
      <w:r w:rsidRPr="00302271">
        <w:rPr>
          <w:rFonts w:ascii="Arial" w:hAnsi="Arial" w:cs="Arial"/>
          <w:color w:val="1F1A17"/>
        </w:rPr>
        <w:t xml:space="preserve"> için OEM’lerle</w:t>
      </w:r>
      <w:r w:rsidRPr="00302271" w:rsidR="0068530C">
        <w:rPr>
          <w:rFonts w:ascii="Arial" w:hAnsi="Arial" w:cs="Arial"/>
          <w:color w:val="1F1A17"/>
        </w:rPr>
        <w:t>Hindistan plastik</w:t>
      </w:r>
      <w:r w:rsidRPr="00302271">
        <w:rPr>
          <w:rFonts w:ascii="Arial" w:hAnsi="Arial" w:cs="Arial"/>
          <w:color w:val="1F1A17"/>
        </w:rPr>
        <w:t xml:space="preserve"> işleme sektörünün üretim merkezidir denebilir. .Perakende Endüstri patlaması, çeşitli plastik kaplama materyali tüketiminin artışına yardımcı olmaktadır. </w:t>
      </w:r>
    </w:p>
    <w:p w:rsidR="00493D0A" w:rsidRPr="00302271" w:rsidP="00493D0A">
      <w:pPr>
        <w:widowControl w:val="0"/>
        <w:autoSpaceDE w:val="0"/>
        <w:autoSpaceDN w:val="0"/>
        <w:adjustRightInd w:val="0"/>
        <w:spacing w:after="0" w:line="200" w:lineRule="exact"/>
        <w:rPr>
          <w:rFonts w:ascii="Times New Roman" w:hAnsi="Times New Roman"/>
          <w:sz w:val="24"/>
          <w:szCs w:val="24"/>
        </w:rPr>
      </w:pPr>
    </w:p>
    <w:p w:rsidR="00493D0A" w:rsidRPr="00302271" w:rsidP="00493D0A">
      <w:pPr>
        <w:widowControl w:val="0"/>
        <w:autoSpaceDE w:val="0"/>
        <w:autoSpaceDN w:val="0"/>
        <w:adjustRightInd w:val="0"/>
        <w:spacing w:after="0" w:line="311" w:lineRule="exact"/>
        <w:rPr>
          <w:rFonts w:ascii="Times New Roman" w:hAnsi="Times New Roman"/>
          <w:sz w:val="24"/>
          <w:szCs w:val="24"/>
        </w:rPr>
      </w:pPr>
    </w:p>
    <w:p w:rsidR="00493D0A"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sidRPr="00302271">
        <w:rPr>
          <w:rFonts w:ascii="Arial" w:hAnsi="Arial" w:cs="Arial"/>
          <w:color w:val="1F1A17"/>
        </w:rPr>
        <w:t xml:space="preserve">Muazzam yurt içi piyasasına sahip yüksek nüfus, tarıma bağlılık, perakende sektörü ve ihracat talebi </w:t>
      </w:r>
      <w:r w:rsidRPr="00302271" w:rsidR="0068530C">
        <w:rPr>
          <w:rFonts w:ascii="Arial" w:hAnsi="Arial" w:cs="Arial"/>
          <w:color w:val="1F1A17"/>
        </w:rPr>
        <w:t>Hindistan’da</w:t>
      </w:r>
      <w:r w:rsidRPr="00302271">
        <w:rPr>
          <w:rFonts w:ascii="Arial" w:hAnsi="Arial" w:cs="Arial"/>
          <w:color w:val="1F1A17"/>
        </w:rPr>
        <w:t xml:space="preserve"> kimya endüstrisinin devam etmesindeki anahtar faktörlerdir. Büyümekte olan genç nüfus, kaplama ihtiyacı ve yüksek net gelir </w:t>
      </w:r>
      <w:r w:rsidRPr="00302271" w:rsidR="0068530C">
        <w:rPr>
          <w:rFonts w:ascii="Arial" w:hAnsi="Arial" w:cs="Arial"/>
          <w:color w:val="1F1A17"/>
        </w:rPr>
        <w:t>nedeniyle plastik</w:t>
      </w:r>
      <w:r w:rsidRPr="00302271">
        <w:rPr>
          <w:rFonts w:ascii="Arial" w:hAnsi="Arial" w:cs="Arial"/>
          <w:color w:val="1F1A17"/>
        </w:rPr>
        <w:t xml:space="preserve"> işlem mallarına olan talep gittikçe artacaktır. Büyüyen yapı endüstrisi </w:t>
      </w:r>
      <w:r w:rsidRPr="00302271" w:rsidR="0068530C">
        <w:rPr>
          <w:rFonts w:ascii="Arial" w:hAnsi="Arial" w:cs="Arial"/>
          <w:color w:val="1F1A17"/>
        </w:rPr>
        <w:t>ve gelişmiş</w:t>
      </w:r>
      <w:r w:rsidRPr="00302271">
        <w:rPr>
          <w:rFonts w:ascii="Arial" w:hAnsi="Arial" w:cs="Arial"/>
          <w:color w:val="1F1A17"/>
        </w:rPr>
        <w:t xml:space="preserve"> kaplama, yapı endüstrisindeki tavan&amp; polimer temelli destek materyali; otomobil sektöründe plastik, boya ve kaplama kullanımı, talebi arttıracaktır.  </w:t>
      </w:r>
    </w:p>
    <w:p w:rsidR="00493D0A" w:rsidP="00493D0A">
      <w:pPr>
        <w:widowControl w:val="0"/>
        <w:autoSpaceDE w:val="0"/>
        <w:autoSpaceDN w:val="0"/>
        <w:adjustRightInd w:val="0"/>
        <w:spacing w:after="0" w:line="146" w:lineRule="exact"/>
        <w:rPr>
          <w:rFonts w:ascii="Times New Roman" w:hAnsi="Times New Roman"/>
          <w:sz w:val="24"/>
          <w:szCs w:val="24"/>
          <w:lang w:val="en-US"/>
        </w:rPr>
      </w:pPr>
    </w:p>
    <w:p w:rsidR="00465A0B" w:rsidP="00493D0A">
      <w:pPr>
        <w:widowControl w:val="0"/>
        <w:autoSpaceDE w:val="0"/>
        <w:autoSpaceDN w:val="0"/>
        <w:adjustRightInd w:val="0"/>
        <w:spacing w:after="0" w:line="240" w:lineRule="auto"/>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0A408A"/>
          <w:sz w:val="30"/>
          <w:szCs w:val="30"/>
        </w:rPr>
        <w:t xml:space="preserve">İlaç Sektörü </w:t>
      </w:r>
    </w:p>
    <w:p w:rsidR="00493D0A" w:rsidRPr="0087022D" w:rsidP="00493D0A">
      <w:pPr>
        <w:widowControl w:val="0"/>
        <w:autoSpaceDE w:val="0"/>
        <w:autoSpaceDN w:val="0"/>
        <w:adjustRightInd w:val="0"/>
        <w:spacing w:after="0" w:line="21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Türkiye </w:t>
      </w:r>
    </w:p>
    <w:p w:rsidR="00493D0A" w:rsidRPr="0087022D" w:rsidP="00493D0A">
      <w:pPr>
        <w:widowControl w:val="0"/>
        <w:autoSpaceDE w:val="0"/>
        <w:autoSpaceDN w:val="0"/>
        <w:adjustRightInd w:val="0"/>
        <w:spacing w:after="0" w:line="2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 Türkiye'nin ilaç piyasası Avrupa'daki 6. en büyük piyasa ve 2012 yılında satış açısından dünyadaki 16. en büyük piyasa olmuştur. İlaç satışları 2003 ve 2012 yılları arasında yaklaşık %10'luk yıllık bileşik büyüme oranı anlamına gelen </w:t>
      </w:r>
      <w:r w:rsidR="0068530C">
        <w:rPr>
          <w:rFonts w:ascii="Arial" w:eastAsia="Arial" w:hAnsi="Arial" w:cs="Arial"/>
          <w:color w:val="1F1A17"/>
          <w:sz w:val="20"/>
          <w:szCs w:val="20"/>
        </w:rPr>
        <w:t>12,5</w:t>
      </w:r>
      <w:r>
        <w:rPr>
          <w:rFonts w:ascii="Arial" w:eastAsia="Arial" w:hAnsi="Arial" w:cs="Arial"/>
          <w:color w:val="1F1A17"/>
          <w:sz w:val="20"/>
          <w:szCs w:val="20"/>
        </w:rPr>
        <w:t xml:space="preserve"> milyar USD'ye ulaşmıştır. </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84" w:lineRule="auto"/>
        <w:jc w:val="both"/>
        <w:rPr>
          <w:rFonts w:ascii="Times New Roman" w:hAnsi="Times New Roman"/>
          <w:sz w:val="24"/>
          <w:szCs w:val="24"/>
          <w:lang w:val="en-US"/>
        </w:rPr>
      </w:pPr>
      <w:r>
        <w:rPr>
          <w:rFonts w:ascii="Arial" w:eastAsia="Arial" w:hAnsi="Arial" w:cs="Arial"/>
          <w:noProof/>
          <w:color w:val="1F1A17"/>
          <w:sz w:val="20"/>
          <w:szCs w:val="20"/>
        </w:rPr>
        <w:drawing>
          <wp:anchor distT="0" distB="0" distL="114300" distR="114300" simplePos="0" relativeHeight="251728896" behindDoc="1" locked="0" layoutInCell="0" allowOverlap="1">
            <wp:simplePos x="0" y="0"/>
            <wp:positionH relativeFrom="page">
              <wp:posOffset>0</wp:posOffset>
            </wp:positionH>
            <wp:positionV relativeFrom="page">
              <wp:posOffset>0</wp:posOffset>
            </wp:positionV>
            <wp:extent cx="8175625" cy="10267950"/>
            <wp:effectExtent l="1905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31854" name="Picture 222"/>
                    <pic:cNvPicPr>
                      <a:picLocks noChangeAspect="1" noChangeArrowheads="1"/>
                    </pic:cNvPicPr>
                  </pic:nvPicPr>
                  <pic:blipFill>
                    <a:blip xmlns:r="http://schemas.openxmlformats.org/officeDocument/2006/relationships" r:embed="rId62">
                      <a:clrChange>
                        <a:clrFrom>
                          <a:srgbClr val="FFFFFF"/>
                        </a:clrFrom>
                        <a:clrTo>
                          <a:srgbClr val="FFFFFF">
                            <a:alpha val="0"/>
                          </a:srgbClr>
                        </a:clrTo>
                      </a:clrChange>
                    </a:blip>
                    <a:stretch>
                      <a:fillRect/>
                    </a:stretch>
                  </pic:blipFill>
                  <pic:spPr bwMode="auto">
                    <a:xfrm>
                      <a:off x="0" y="0"/>
                      <a:ext cx="8175625" cy="10267950"/>
                    </a:xfrm>
                    <a:prstGeom prst="rect">
                      <a:avLst/>
                    </a:prstGeom>
                    <a:noFill/>
                  </pic:spPr>
                </pic:pic>
              </a:graphicData>
            </a:graphic>
          </wp:anchor>
        </w:drawing>
      </w:r>
      <w:r>
        <w:rPr>
          <w:rFonts w:ascii="Arial" w:eastAsia="Arial" w:hAnsi="Arial" w:cs="Arial"/>
          <w:color w:val="1F1A17"/>
          <w:sz w:val="20"/>
          <w:szCs w:val="20"/>
        </w:rPr>
        <w:t>Reel GSYİH'deki</w:t>
      </w:r>
      <w:r w:rsidR="0068530C">
        <w:rPr>
          <w:rFonts w:ascii="Arial" w:eastAsia="Arial" w:hAnsi="Arial" w:cs="Arial"/>
          <w:color w:val="1F1A17"/>
          <w:sz w:val="20"/>
          <w:szCs w:val="20"/>
        </w:rPr>
        <w:t xml:space="preserve"> büyüme aynı dönem için yüzde 3,</w:t>
      </w:r>
      <w:r>
        <w:rPr>
          <w:rFonts w:ascii="Arial" w:eastAsia="Arial" w:hAnsi="Arial" w:cs="Arial"/>
          <w:color w:val="1F1A17"/>
          <w:sz w:val="20"/>
          <w:szCs w:val="20"/>
        </w:rPr>
        <w:t>5 iken ilaç sektörünün, 2012'den 2013'e yüzde 8.9 oranında büyüdüğü cazip Türkiye piyasasından yararlanmak içinyurtiçi ve uluslararası yatırımcılar ilaç sektöründe yeni yatırımlar edinmiştir.</w:t>
      </w:r>
    </w:p>
    <w:p w:rsidR="00493D0A" w:rsidRPr="0087022D" w:rsidP="00493D0A">
      <w:pPr>
        <w:widowControl w:val="0"/>
        <w:autoSpaceDE w:val="0"/>
        <w:autoSpaceDN w:val="0"/>
        <w:adjustRightInd w:val="0"/>
        <w:spacing w:after="0" w:line="211"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90" w:lineRule="auto"/>
        <w:ind w:firstLine="1"/>
        <w:jc w:val="both"/>
        <w:rPr>
          <w:rFonts w:ascii="Times New Roman" w:hAnsi="Times New Roman"/>
          <w:sz w:val="24"/>
          <w:szCs w:val="24"/>
          <w:lang w:val="en-US"/>
        </w:rPr>
      </w:pPr>
      <w:r>
        <w:rPr>
          <w:rFonts w:ascii="Arial" w:eastAsia="Arial" w:hAnsi="Arial" w:cs="Arial"/>
          <w:color w:val="1F1A17"/>
          <w:sz w:val="21"/>
          <w:szCs w:val="21"/>
        </w:rPr>
        <w:t xml:space="preserve"> Türkiye'nin yabancı </w:t>
      </w:r>
      <w:r w:rsidR="0068530C">
        <w:rPr>
          <w:rFonts w:ascii="Arial" w:eastAsia="Arial" w:hAnsi="Arial" w:cs="Arial"/>
          <w:color w:val="1F1A17"/>
          <w:sz w:val="21"/>
          <w:szCs w:val="21"/>
        </w:rPr>
        <w:t>hâkimiyeti</w:t>
      </w:r>
      <w:r>
        <w:rPr>
          <w:rFonts w:ascii="Arial" w:eastAsia="Arial" w:hAnsi="Arial" w:cs="Arial"/>
          <w:color w:val="1F1A17"/>
          <w:sz w:val="21"/>
          <w:szCs w:val="21"/>
        </w:rPr>
        <w:t xml:space="preserve"> ilaç endüstrisi kimya sanayisinin üretiminin yaklaşık % 10'unu oluşturmaktadır. 43 ilaç ve ilaç hammadde üreticisi de </w:t>
      </w:r>
      <w:r w:rsidR="0068530C">
        <w:rPr>
          <w:rFonts w:ascii="Arial" w:eastAsia="Arial" w:hAnsi="Arial" w:cs="Arial"/>
          <w:color w:val="1F1A17"/>
          <w:sz w:val="21"/>
          <w:szCs w:val="21"/>
        </w:rPr>
        <w:t>dâhil</w:t>
      </w:r>
      <w:r>
        <w:rPr>
          <w:rFonts w:ascii="Arial" w:eastAsia="Arial" w:hAnsi="Arial" w:cs="Arial"/>
          <w:color w:val="1F1A17"/>
          <w:sz w:val="21"/>
          <w:szCs w:val="21"/>
        </w:rPr>
        <w:t xml:space="preserve"> olmak üzere 300 şirket sektörde faaliyet göstermektedir. Altmış yedi çokuluslu şirketin, 13'ü kendi üretim tesislerini sahip olacak şekilde, Türk ilaç sektöründe yatırımları bulunmaktadır. Lider yerli ilaç üreticileri şunlardır: Abdi İbrahim, Bilim İlaç, (şu an Zentiva'ya ait) Eczacıbaşı İlaç, İbrahim Ethem Ulugay (şu an Menarini'ye ait), Mustafa Nevzat, Fako (şu an Actavis'e ait) ve Deva (şu an EastPharma'nın bir parçasıdır). Türkiye'de yatırımlara sahip büyük çokuluslu ilaç şirketleri şunlardır: Roche, GlaxoSmithKline, Novartis, Bayer, HoechstMarionRoussel, SanofiAventis-, BoehringerIngelheim, Johnson ve Johnson, Baxter ve Pfizer bulunur.</w:t>
      </w:r>
    </w:p>
    <w:p w:rsidR="00493D0A" w:rsidRPr="0087022D" w:rsidP="00493D0A">
      <w:pPr>
        <w:widowControl w:val="0"/>
        <w:autoSpaceDE w:val="0"/>
        <w:autoSpaceDN w:val="0"/>
        <w:adjustRightInd w:val="0"/>
        <w:spacing w:after="0" w:line="21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2010 yılında ulusal ilaç harcamaları İlaç Sanayicileri Derneği'ne (İEİS) göre, 6.960 milyar Euro olarak gerçekleşmiştir. İEİS'in bildirisine göre, Türk piyasası 2010 yılında % </w:t>
      </w:r>
      <w:r w:rsidR="00106922">
        <w:rPr>
          <w:rFonts w:ascii="Arial" w:eastAsia="Arial" w:hAnsi="Arial" w:cs="Arial"/>
          <w:color w:val="1F1A17"/>
          <w:sz w:val="20"/>
          <w:szCs w:val="20"/>
        </w:rPr>
        <w:t>61,7’si</w:t>
      </w:r>
      <w:r>
        <w:rPr>
          <w:rFonts w:ascii="Arial" w:eastAsia="Arial" w:hAnsi="Arial" w:cs="Arial"/>
          <w:color w:val="1F1A17"/>
          <w:sz w:val="20"/>
          <w:szCs w:val="20"/>
        </w:rPr>
        <w:t xml:space="preserve"> yerli üretim ve %</w:t>
      </w:r>
      <w:r w:rsidR="00106922">
        <w:rPr>
          <w:rFonts w:ascii="Arial" w:eastAsia="Arial" w:hAnsi="Arial" w:cs="Arial"/>
          <w:color w:val="1F1A17"/>
          <w:sz w:val="20"/>
          <w:szCs w:val="20"/>
        </w:rPr>
        <w:t>38,3’ü</w:t>
      </w:r>
      <w:r>
        <w:rPr>
          <w:rFonts w:ascii="Arial" w:eastAsia="Arial" w:hAnsi="Arial" w:cs="Arial"/>
          <w:color w:val="1F1A17"/>
          <w:sz w:val="20"/>
          <w:szCs w:val="20"/>
        </w:rPr>
        <w:t xml:space="preserve"> ithal edilen 7672 eczacılık ürününe sahiptir. Yirmi şirket Türkiye'deki ilaç satışının %</w:t>
      </w:r>
      <w:r w:rsidR="0068530C">
        <w:rPr>
          <w:rFonts w:ascii="Arial" w:eastAsia="Arial" w:hAnsi="Arial" w:cs="Arial"/>
          <w:color w:val="1F1A17"/>
          <w:sz w:val="20"/>
          <w:szCs w:val="20"/>
        </w:rPr>
        <w:t>74,3’ünü</w:t>
      </w:r>
      <w:r>
        <w:rPr>
          <w:rFonts w:ascii="Arial" w:eastAsia="Arial" w:hAnsi="Arial" w:cs="Arial"/>
          <w:color w:val="1F1A17"/>
          <w:sz w:val="20"/>
          <w:szCs w:val="20"/>
        </w:rPr>
        <w:t xml:space="preserve"> oluşturmaktadır. Sanayi 25.000 kişiyi istihdam etmektedir.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2010 yılında, Türk ilaç ithalatı 4.410 milyar USD değerinde olmuştur. Türkiye İstatistik Kurumu'nun bildirisine göre, ithalatın yaklaşık %47'si hammadde ve %53'ü bitmiş ürünler için olmuştur. 2010 yılında ihracat, yaklaşık %20 hammadde ve %80 bitmiş ürün ile birlikte, </w:t>
      </w:r>
      <w:r w:rsidR="0068530C">
        <w:rPr>
          <w:rFonts w:ascii="Arial" w:eastAsia="Arial" w:hAnsi="Arial" w:cs="Arial"/>
          <w:color w:val="1F1A17"/>
          <w:sz w:val="20"/>
          <w:szCs w:val="20"/>
        </w:rPr>
        <w:t>558,2</w:t>
      </w:r>
      <w:r>
        <w:rPr>
          <w:rFonts w:ascii="Arial" w:eastAsia="Arial" w:hAnsi="Arial" w:cs="Arial"/>
          <w:color w:val="1F1A17"/>
          <w:sz w:val="20"/>
          <w:szCs w:val="20"/>
        </w:rPr>
        <w:t xml:space="preserve"> milyon USD ile rekor seviyeye ulaşmıştır.</w:t>
      </w:r>
    </w:p>
    <w:p w:rsidR="00493D0A" w:rsidRPr="0087022D" w:rsidP="00493D0A">
      <w:pPr>
        <w:widowControl w:val="0"/>
        <w:autoSpaceDE w:val="0"/>
        <w:autoSpaceDN w:val="0"/>
        <w:adjustRightInd w:val="0"/>
        <w:spacing w:after="0" w:line="34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2012 yılındaki Eczacılık Satışlarına göre İlk 20 Ülke</w:t>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82" w:lineRule="exact"/>
        <w:rPr>
          <w:rFonts w:ascii="Times New Roman" w:hAnsi="Times New Roman"/>
          <w:sz w:val="24"/>
          <w:szCs w:val="24"/>
          <w:lang w:val="en-US"/>
        </w:rPr>
      </w:pPr>
    </w:p>
    <w:tbl>
      <w:tblPr>
        <w:tblW w:w="0" w:type="auto"/>
        <w:tblInd w:w="60" w:type="dxa"/>
        <w:tblLayout w:type="fixed"/>
        <w:tblCellMar>
          <w:left w:w="0" w:type="dxa"/>
          <w:right w:w="0" w:type="dxa"/>
        </w:tblCellMar>
        <w:tblLook w:val="0000"/>
      </w:tblPr>
      <w:tblGrid>
        <w:gridCol w:w="200"/>
        <w:gridCol w:w="2880"/>
        <w:gridCol w:w="4040"/>
        <w:gridCol w:w="20"/>
      </w:tblGrid>
      <w:tr w:rsidTr="00036A52">
        <w:tblPrEx>
          <w:tblW w:w="0" w:type="auto"/>
          <w:tblInd w:w="60" w:type="dxa"/>
          <w:tblLayout w:type="fixed"/>
          <w:tblCellMar>
            <w:left w:w="0" w:type="dxa"/>
            <w:right w:w="0" w:type="dxa"/>
          </w:tblCellMar>
          <w:tblLook w:val="0000"/>
        </w:tblPrEx>
        <w:trPr>
          <w:trHeight w:val="190"/>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6"/>
                <w:szCs w:val="16"/>
                <w:lang w:val="en-US"/>
              </w:rPr>
            </w:pPr>
          </w:p>
        </w:tc>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450</w:t>
            </w:r>
          </w:p>
        </w:tc>
        <w:tc>
          <w:tcPr>
            <w:tcW w:w="40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540"/>
              <w:rPr>
                <w:rFonts w:ascii="Times New Roman" w:hAnsi="Times New Roman"/>
                <w:sz w:val="24"/>
                <w:szCs w:val="24"/>
                <w:lang w:val="en-US"/>
              </w:rPr>
            </w:pPr>
            <w:r>
              <w:rPr>
                <w:rFonts w:ascii="Arial" w:eastAsia="Arial" w:hAnsi="Arial" w:cs="Arial"/>
                <w:color w:val="1F1A17"/>
                <w:sz w:val="16"/>
                <w:szCs w:val="16"/>
              </w:rPr>
              <w:t xml:space="preserve">Türkiye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57"/>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28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400</w:t>
            </w:r>
          </w:p>
        </w:tc>
        <w:tc>
          <w:tcPr>
            <w:tcW w:w="40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93"/>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8"/>
                <w:szCs w:val="8"/>
                <w:lang w:val="en-US"/>
              </w:rPr>
            </w:pPr>
          </w:p>
        </w:tc>
        <w:tc>
          <w:tcPr>
            <w:tcW w:w="28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8"/>
                <w:szCs w:val="8"/>
                <w:lang w:val="en-US"/>
              </w:rPr>
            </w:pPr>
          </w:p>
        </w:tc>
        <w:tc>
          <w:tcPr>
            <w:tcW w:w="40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540"/>
              <w:rPr>
                <w:rFonts w:ascii="Times New Roman" w:hAnsi="Times New Roman"/>
                <w:sz w:val="24"/>
                <w:szCs w:val="24"/>
                <w:lang w:val="en-US"/>
              </w:rPr>
            </w:pPr>
            <w:r>
              <w:rPr>
                <w:rFonts w:ascii="Arial" w:eastAsia="Arial" w:hAnsi="Arial" w:cs="Arial"/>
                <w:color w:val="1F1A17"/>
                <w:sz w:val="16"/>
                <w:szCs w:val="16"/>
              </w:rPr>
              <w:t xml:space="preserve">Gelişen Ülkeler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72"/>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8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350</w:t>
            </w:r>
          </w:p>
        </w:tc>
        <w:tc>
          <w:tcPr>
            <w:tcW w:w="40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78"/>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8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540"/>
              <w:rPr>
                <w:rFonts w:ascii="Times New Roman" w:hAnsi="Times New Roman"/>
                <w:sz w:val="24"/>
                <w:szCs w:val="24"/>
                <w:lang w:val="en-US"/>
              </w:rPr>
            </w:pPr>
            <w:r>
              <w:rPr>
                <w:rFonts w:ascii="Arial" w:eastAsia="Arial" w:hAnsi="Arial" w:cs="Arial"/>
                <w:color w:val="1F1A17"/>
                <w:sz w:val="16"/>
                <w:szCs w:val="16"/>
              </w:rPr>
              <w:t xml:space="preserve">Gelişmiş Ülkeler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86"/>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6"/>
                <w:szCs w:val="16"/>
                <w:lang w:val="en-US"/>
              </w:rPr>
            </w:pPr>
          </w:p>
        </w:tc>
        <w:tc>
          <w:tcPr>
            <w:tcW w:w="28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300</w:t>
            </w:r>
          </w:p>
        </w:tc>
        <w:tc>
          <w:tcPr>
            <w:tcW w:w="40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6"/>
                <w:szCs w:val="16"/>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64"/>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8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249"/>
        </w:trPr>
        <w:tc>
          <w:tcPr>
            <w:tcW w:w="200" w:type="dxa"/>
            <w:vMerge w:val="restart"/>
            <w:tcBorders>
              <w:top w:val="nil"/>
              <w:left w:val="nil"/>
              <w:bottom w:val="nil"/>
              <w:right w:val="nil"/>
            </w:tcBorders>
            <w:textDirection w:val="btLr"/>
            <w:vAlign w:val="bottom"/>
          </w:tcPr>
          <w:p w:rsidR="00493D0A" w:rsidRPr="0087022D" w:rsidP="00036A52">
            <w:pPr>
              <w:widowControl w:val="0"/>
              <w:autoSpaceDE w:val="0"/>
              <w:autoSpaceDN w:val="0"/>
              <w:adjustRightInd w:val="0"/>
              <w:spacing w:after="0" w:line="239" w:lineRule="auto"/>
              <w:rPr>
                <w:rFonts w:ascii="Times New Roman" w:hAnsi="Times New Roman"/>
                <w:sz w:val="24"/>
                <w:szCs w:val="24"/>
                <w:lang w:val="en-US"/>
              </w:rPr>
            </w:pPr>
            <w:r>
              <w:rPr>
                <w:rFonts w:ascii="Arial" w:eastAsia="Arial" w:hAnsi="Arial" w:cs="Arial"/>
                <w:color w:val="1F1A17"/>
                <w:sz w:val="20"/>
                <w:szCs w:val="20"/>
              </w:rPr>
              <w:t xml:space="preserve">Milyar </w:t>
            </w:r>
          </w:p>
        </w:tc>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250</w:t>
            </w: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1"/>
                <w:szCs w:val="21"/>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249"/>
        </w:trPr>
        <w:tc>
          <w:tcPr>
            <w:tcW w:w="20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1"/>
                <w:szCs w:val="21"/>
                <w:lang w:val="en-US"/>
              </w:rPr>
            </w:pPr>
          </w:p>
        </w:tc>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200</w:t>
            </w: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1"/>
                <w:szCs w:val="21"/>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64"/>
        </w:trPr>
        <w:tc>
          <w:tcPr>
            <w:tcW w:w="20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8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150</w:t>
            </w: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85"/>
        </w:trPr>
        <w:tc>
          <w:tcPr>
            <w:tcW w:w="200" w:type="dxa"/>
            <w:vMerge w:val="restart"/>
            <w:tcBorders>
              <w:top w:val="nil"/>
              <w:left w:val="nil"/>
              <w:bottom w:val="nil"/>
              <w:right w:val="nil"/>
            </w:tcBorders>
            <w:textDirection w:val="btLr"/>
            <w:vAlign w:val="bottom"/>
          </w:tcPr>
          <w:p w:rsidR="00493D0A" w:rsidRPr="0087022D" w:rsidP="00036A52">
            <w:pPr>
              <w:widowControl w:val="0"/>
              <w:autoSpaceDE w:val="0"/>
              <w:autoSpaceDN w:val="0"/>
              <w:adjustRightInd w:val="0"/>
              <w:spacing w:after="0" w:line="226" w:lineRule="auto"/>
              <w:rPr>
                <w:rFonts w:ascii="Times New Roman" w:hAnsi="Times New Roman"/>
                <w:sz w:val="24"/>
                <w:szCs w:val="24"/>
                <w:lang w:val="en-US"/>
              </w:rPr>
            </w:pPr>
            <w:r>
              <w:rPr>
                <w:rFonts w:ascii="Arial" w:eastAsia="Arial" w:hAnsi="Arial" w:cs="Arial"/>
                <w:color w:val="1F1A17"/>
                <w:sz w:val="20"/>
                <w:szCs w:val="20"/>
              </w:rPr>
              <w:t>USD</w:t>
            </w:r>
          </w:p>
        </w:tc>
        <w:tc>
          <w:tcPr>
            <w:tcW w:w="28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249"/>
        </w:trPr>
        <w:tc>
          <w:tcPr>
            <w:tcW w:w="20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1"/>
                <w:szCs w:val="21"/>
                <w:lang w:val="en-US"/>
              </w:rPr>
            </w:pPr>
          </w:p>
        </w:tc>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100</w:t>
            </w: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1"/>
                <w:szCs w:val="21"/>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24"/>
        </w:trPr>
        <w:tc>
          <w:tcPr>
            <w:tcW w:w="20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0"/>
                <w:szCs w:val="10"/>
                <w:lang w:val="en-US"/>
              </w:rPr>
            </w:pPr>
          </w:p>
        </w:tc>
        <w:tc>
          <w:tcPr>
            <w:tcW w:w="28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50</w:t>
            </w:r>
          </w:p>
        </w:tc>
        <w:tc>
          <w:tcPr>
            <w:tcW w:w="40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740"/>
              <w:jc w:val="right"/>
              <w:rPr>
                <w:rFonts w:ascii="Times New Roman" w:hAnsi="Times New Roman"/>
                <w:sz w:val="24"/>
                <w:szCs w:val="24"/>
                <w:lang w:val="en-US"/>
              </w:rPr>
            </w:pPr>
            <w:r w:rsidRPr="0087022D">
              <w:rPr>
                <w:rFonts w:ascii="Arial" w:hAnsi="Arial" w:cs="Arial"/>
                <w:color w:val="1F1A17"/>
                <w:sz w:val="16"/>
                <w:szCs w:val="16"/>
                <w:lang w:val="en-US"/>
              </w:rPr>
              <w:t>12.5</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79"/>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5"/>
                <w:szCs w:val="15"/>
                <w:lang w:val="en-US"/>
              </w:rPr>
            </w:pPr>
          </w:p>
        </w:tc>
        <w:tc>
          <w:tcPr>
            <w:tcW w:w="28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5"/>
                <w:szCs w:val="15"/>
                <w:lang w:val="en-US"/>
              </w:rPr>
            </w:pPr>
          </w:p>
        </w:tc>
        <w:tc>
          <w:tcPr>
            <w:tcW w:w="40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5"/>
                <w:szCs w:val="15"/>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Ind w:w="60" w:type="dxa"/>
          <w:tblLayout w:type="fixed"/>
          <w:tblCellMar>
            <w:left w:w="0" w:type="dxa"/>
            <w:right w:w="0" w:type="dxa"/>
          </w:tblCellMar>
          <w:tblLook w:val="0000"/>
        </w:tblPrEx>
        <w:trPr>
          <w:trHeight w:val="196"/>
        </w:trPr>
        <w:tc>
          <w:tcPr>
            <w:tcW w:w="2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7"/>
                <w:szCs w:val="17"/>
                <w:lang w:val="en-US"/>
              </w:rPr>
            </w:pPr>
          </w:p>
        </w:tc>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2480"/>
              <w:jc w:val="right"/>
              <w:rPr>
                <w:rFonts w:ascii="Times New Roman" w:hAnsi="Times New Roman"/>
                <w:sz w:val="24"/>
                <w:szCs w:val="24"/>
                <w:lang w:val="en-US"/>
              </w:rPr>
            </w:pPr>
            <w:r w:rsidRPr="0087022D">
              <w:rPr>
                <w:rFonts w:ascii="Arial" w:hAnsi="Arial" w:cs="Arial"/>
                <w:color w:val="1F1A17"/>
                <w:sz w:val="16"/>
                <w:szCs w:val="16"/>
                <w:lang w:val="en-US"/>
              </w:rPr>
              <w:t>0</w:t>
            </w:r>
          </w:p>
        </w:tc>
        <w:tc>
          <w:tcPr>
            <w:tcW w:w="4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7"/>
                <w:szCs w:val="17"/>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bl>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3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9"/>
          <w:szCs w:val="9"/>
        </w:rPr>
        <w:t>ABD</w:t>
      </w:r>
    </w:p>
    <w:p w:rsidR="00493D0A" w:rsidRPr="0087022D" w:rsidP="00493D0A">
      <w:pPr>
        <w:widowControl w:val="0"/>
        <w:autoSpaceDE w:val="0"/>
        <w:autoSpaceDN w:val="0"/>
        <w:adjustRightInd w:val="0"/>
        <w:spacing w:after="0" w:line="6" w:lineRule="exact"/>
        <w:rPr>
          <w:rFonts w:ascii="Times New Roman" w:hAnsi="Times New Roman"/>
          <w:sz w:val="24"/>
          <w:szCs w:val="24"/>
          <w:lang w:val="en-US"/>
        </w:rPr>
      </w:pPr>
      <w:r w:rsidRPr="0087022D">
        <w:rPr>
          <w:rFonts w:ascii="Times New Roman" w:hAnsi="Times New Roman"/>
          <w:sz w:val="24"/>
          <w:szCs w:val="24"/>
          <w:lang w:val="en-US"/>
        </w:rPr>
        <w:br w:type="column"/>
      </w:r>
    </w:p>
    <w:p w:rsidR="00493D0A" w:rsidRPr="0087022D" w:rsidP="00493D0A">
      <w:pPr>
        <w:widowControl w:val="0"/>
        <w:autoSpaceDE w:val="0"/>
        <w:autoSpaceDN w:val="0"/>
        <w:adjustRightInd w:val="0"/>
        <w:spacing w:after="0" w:line="1" w:lineRule="exact"/>
        <w:rPr>
          <w:rFonts w:ascii="Times New Roman" w:hAnsi="Times New Roman"/>
          <w:sz w:val="2"/>
          <w:szCs w:val="2"/>
          <w:lang w:val="en-US"/>
        </w:rPr>
      </w:pPr>
    </w:p>
    <w:tbl>
      <w:tblPr>
        <w:tblW w:w="0" w:type="auto"/>
        <w:tblLayout w:type="fixed"/>
        <w:tblCellMar>
          <w:left w:w="0" w:type="dxa"/>
          <w:right w:w="0" w:type="dxa"/>
        </w:tblCellMar>
        <w:tblLook w:val="0000"/>
      </w:tblPr>
      <w:tblGrid>
        <w:gridCol w:w="100"/>
        <w:gridCol w:w="60"/>
        <w:gridCol w:w="60"/>
        <w:gridCol w:w="120"/>
        <w:gridCol w:w="280"/>
        <w:gridCol w:w="60"/>
        <w:gridCol w:w="60"/>
        <w:gridCol w:w="40"/>
        <w:gridCol w:w="60"/>
        <w:gridCol w:w="60"/>
        <w:gridCol w:w="140"/>
        <w:gridCol w:w="120"/>
        <w:gridCol w:w="60"/>
        <w:gridCol w:w="40"/>
        <w:gridCol w:w="160"/>
        <w:gridCol w:w="120"/>
        <w:gridCol w:w="60"/>
        <w:gridCol w:w="80"/>
        <w:gridCol w:w="60"/>
        <w:gridCol w:w="60"/>
        <w:gridCol w:w="60"/>
        <w:gridCol w:w="60"/>
        <w:gridCol w:w="60"/>
        <w:gridCol w:w="140"/>
        <w:gridCol w:w="180"/>
        <w:gridCol w:w="120"/>
        <w:gridCol w:w="20"/>
      </w:tblGrid>
      <w:tr w:rsidTr="00036A52">
        <w:tblPrEx>
          <w:tblW w:w="0" w:type="auto"/>
          <w:tblLayout w:type="fixed"/>
          <w:tblCellMar>
            <w:left w:w="0" w:type="dxa"/>
            <w:right w:w="0" w:type="dxa"/>
          </w:tblCellMar>
          <w:tblLook w:val="0000"/>
        </w:tblPrEx>
        <w:trPr>
          <w:trHeight w:val="152"/>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2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 xml:space="preserve">n </w:t>
            </w:r>
          </w:p>
        </w:tc>
        <w:tc>
          <w:tcPr>
            <w:tcW w:w="3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20"/>
              <w:rPr>
                <w:rFonts w:ascii="Times New Roman" w:hAnsi="Times New Roman"/>
                <w:sz w:val="24"/>
                <w:szCs w:val="24"/>
                <w:lang w:val="en-US"/>
              </w:rPr>
            </w:pPr>
            <w:r>
              <w:rPr>
                <w:rFonts w:ascii="Arial" w:eastAsia="Arial" w:hAnsi="Arial" w:cs="Arial"/>
                <w:color w:val="1F1A17"/>
                <w:sz w:val="12"/>
                <w:szCs w:val="12"/>
              </w:rPr>
              <w:t xml:space="preserve">a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e</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l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y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a</w:t>
            </w: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2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ly</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3"/>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5" w:lineRule="auto"/>
              <w:ind w:left="120"/>
              <w:rPr>
                <w:rFonts w:ascii="Times New Roman" w:hAnsi="Times New Roman"/>
                <w:sz w:val="24"/>
                <w:szCs w:val="24"/>
                <w:lang w:val="en-US"/>
              </w:rPr>
            </w:pPr>
            <w:r>
              <w:rPr>
                <w:rFonts w:ascii="Arial" w:eastAsia="Arial" w:hAnsi="Arial" w:cs="Arial"/>
                <w:color w:val="1F1A17"/>
                <w:sz w:val="10"/>
                <w:szCs w:val="10"/>
              </w:rPr>
              <w:t>in</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2"/>
                <w:szCs w:val="2"/>
              </w:rPr>
              <w:t>i</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9" w:lineRule="auto"/>
              <w:ind w:left="20"/>
              <w:rPr>
                <w:rFonts w:ascii="Times New Roman" w:hAnsi="Times New Roman"/>
                <w:sz w:val="24"/>
                <w:szCs w:val="24"/>
                <w:lang w:val="en-US"/>
              </w:rPr>
            </w:pPr>
            <w:r>
              <w:rPr>
                <w:rFonts w:ascii="Arial" w:eastAsia="Arial" w:hAnsi="Arial" w:cs="Arial"/>
                <w:color w:val="1F1A17"/>
                <w:sz w:val="8"/>
                <w:szCs w:val="8"/>
              </w:rPr>
              <w:t xml:space="preserve">d </w:t>
            </w: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49"/>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6" w:lineRule="auto"/>
              <w:rPr>
                <w:rFonts w:ascii="Times New Roman" w:hAnsi="Times New Roman"/>
                <w:sz w:val="24"/>
                <w:szCs w:val="24"/>
                <w:lang w:val="en-US"/>
              </w:rPr>
            </w:pPr>
            <w:r>
              <w:rPr>
                <w:rFonts w:ascii="Arial" w:eastAsia="Arial" w:hAnsi="Arial" w:cs="Arial"/>
                <w:color w:val="1F1A17"/>
                <w:sz w:val="5"/>
                <w:szCs w:val="5"/>
              </w:rPr>
              <w:t>a</w:t>
            </w:r>
          </w:p>
        </w:tc>
        <w:tc>
          <w:tcPr>
            <w:tcW w:w="2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2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6" w:lineRule="auto"/>
              <w:ind w:left="20"/>
              <w:rPr>
                <w:rFonts w:ascii="Times New Roman" w:hAnsi="Times New Roman"/>
                <w:sz w:val="24"/>
                <w:szCs w:val="24"/>
                <w:lang w:val="en-US"/>
              </w:rPr>
            </w:pPr>
            <w:r>
              <w:rPr>
                <w:rFonts w:ascii="Arial" w:eastAsia="Arial" w:hAnsi="Arial" w:cs="Arial"/>
                <w:color w:val="1F1A17"/>
                <w:sz w:val="5"/>
                <w:szCs w:val="5"/>
              </w:rPr>
              <w:t xml:space="preserve">c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2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6" w:lineRule="auto"/>
              <w:rPr>
                <w:rFonts w:ascii="Times New Roman" w:hAnsi="Times New Roman"/>
                <w:sz w:val="24"/>
                <w:szCs w:val="24"/>
                <w:lang w:val="en-US"/>
              </w:rPr>
            </w:pPr>
            <w:r>
              <w:rPr>
                <w:rFonts w:ascii="Arial" w:eastAsia="Arial" w:hAnsi="Arial" w:cs="Arial"/>
                <w:color w:val="1F1A17"/>
                <w:sz w:val="5"/>
                <w:szCs w:val="5"/>
              </w:rPr>
              <w:t xml:space="preserve">z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5" w:lineRule="auto"/>
              <w:ind w:left="20"/>
              <w:rPr>
                <w:rFonts w:ascii="Times New Roman" w:hAnsi="Times New Roman"/>
                <w:sz w:val="24"/>
                <w:szCs w:val="24"/>
                <w:lang w:val="en-US"/>
              </w:rPr>
            </w:pPr>
            <w:r>
              <w:rPr>
                <w:rFonts w:ascii="Arial" w:eastAsia="Arial" w:hAnsi="Arial" w:cs="Arial"/>
                <w:color w:val="1F1A17"/>
                <w:sz w:val="8"/>
                <w:szCs w:val="8"/>
              </w:rPr>
              <w:t xml:space="preserve">n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2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3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5" w:lineRule="auto"/>
              <w:ind w:left="140"/>
              <w:rPr>
                <w:rFonts w:ascii="Times New Roman" w:hAnsi="Times New Roman"/>
                <w:sz w:val="24"/>
                <w:szCs w:val="24"/>
                <w:lang w:val="en-US"/>
              </w:rPr>
            </w:pPr>
            <w:r>
              <w:rPr>
                <w:rFonts w:ascii="Arial" w:eastAsia="Arial" w:hAnsi="Arial" w:cs="Arial"/>
                <w:color w:val="1F1A17"/>
                <w:sz w:val="8"/>
                <w:szCs w:val="8"/>
              </w:rPr>
              <w:t>a</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2"/>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03" w:lineRule="auto"/>
              <w:rPr>
                <w:rFonts w:ascii="Times New Roman" w:hAnsi="Times New Roman"/>
                <w:sz w:val="24"/>
                <w:szCs w:val="24"/>
                <w:lang w:val="en-US"/>
              </w:rPr>
            </w:pPr>
            <w:r>
              <w:rPr>
                <w:rFonts w:ascii="Arial" w:eastAsia="Arial" w:hAnsi="Arial" w:cs="Arial"/>
                <w:color w:val="1F1A17"/>
                <w:sz w:val="6"/>
                <w:szCs w:val="6"/>
              </w:rPr>
              <w:t xml:space="preserve">p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03" w:lineRule="auto"/>
              <w:ind w:left="20"/>
              <w:rPr>
                <w:rFonts w:ascii="Times New Roman" w:hAnsi="Times New Roman"/>
                <w:sz w:val="24"/>
                <w:szCs w:val="24"/>
                <w:lang w:val="en-US"/>
              </w:rPr>
            </w:pPr>
            <w:r>
              <w:rPr>
                <w:rFonts w:ascii="Arial" w:eastAsia="Arial" w:hAnsi="Arial" w:cs="Arial"/>
                <w:color w:val="1F1A17"/>
                <w:sz w:val="6"/>
                <w:szCs w:val="6"/>
              </w:rPr>
              <w:t xml:space="preserve">n </w:t>
            </w: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03" w:lineRule="auto"/>
              <w:rPr>
                <w:rFonts w:ascii="Times New Roman" w:hAnsi="Times New Roman"/>
                <w:sz w:val="24"/>
                <w:szCs w:val="24"/>
                <w:lang w:val="en-US"/>
              </w:rPr>
            </w:pPr>
            <w:r>
              <w:rPr>
                <w:rFonts w:ascii="Arial" w:eastAsia="Arial" w:hAnsi="Arial" w:cs="Arial"/>
                <w:color w:val="1F1A17"/>
                <w:sz w:val="6"/>
                <w:szCs w:val="6"/>
              </w:rPr>
              <w:t>a</w:t>
            </w: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03" w:lineRule="auto"/>
              <w:ind w:left="20"/>
              <w:rPr>
                <w:rFonts w:ascii="Times New Roman" w:hAnsi="Times New Roman"/>
                <w:sz w:val="24"/>
                <w:szCs w:val="24"/>
                <w:lang w:val="en-US"/>
              </w:rPr>
            </w:pPr>
            <w:r>
              <w:rPr>
                <w:rFonts w:ascii="Arial" w:eastAsia="Arial" w:hAnsi="Arial" w:cs="Arial"/>
                <w:color w:val="1F1A17"/>
                <w:sz w:val="6"/>
                <w:szCs w:val="6"/>
              </w:rPr>
              <w:t>a</w:t>
            </w: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37"/>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2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5" w:lineRule="auto"/>
              <w:ind w:left="80"/>
              <w:rPr>
                <w:rFonts w:ascii="Times New Roman" w:hAnsi="Times New Roman"/>
                <w:sz w:val="24"/>
                <w:szCs w:val="24"/>
                <w:lang w:val="en-US"/>
              </w:rPr>
            </w:pPr>
            <w:r>
              <w:rPr>
                <w:rFonts w:ascii="Arial" w:eastAsia="Arial" w:hAnsi="Arial" w:cs="Arial"/>
                <w:color w:val="1F1A17"/>
                <w:sz w:val="9"/>
                <w:szCs w:val="9"/>
              </w:rPr>
              <w:t xml:space="preserve">h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80"/>
              <w:rPr>
                <w:rFonts w:ascii="Times New Roman" w:hAnsi="Times New Roman"/>
                <w:sz w:val="24"/>
                <w:szCs w:val="24"/>
                <w:lang w:val="en-US"/>
              </w:rPr>
            </w:pPr>
            <w:r>
              <w:rPr>
                <w:rFonts w:ascii="Arial" w:eastAsia="Arial" w:hAnsi="Arial" w:cs="Arial"/>
                <w:color w:val="1F1A17"/>
                <w:sz w:val="3"/>
                <w:szCs w:val="3"/>
              </w:rPr>
              <w:t>a</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80"/>
              <w:rPr>
                <w:rFonts w:ascii="Times New Roman" w:hAnsi="Times New Roman"/>
                <w:sz w:val="24"/>
                <w:szCs w:val="24"/>
                <w:lang w:val="en-US"/>
              </w:rPr>
            </w:pPr>
            <w:r>
              <w:rPr>
                <w:rFonts w:ascii="Arial" w:eastAsia="Arial" w:hAnsi="Arial" w:cs="Arial"/>
                <w:color w:val="1F1A17"/>
                <w:sz w:val="3"/>
                <w:szCs w:val="3"/>
              </w:rPr>
              <w:t xml:space="preserve">t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47"/>
        </w:trPr>
        <w:tc>
          <w:tcPr>
            <w:tcW w:w="16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7" w:lineRule="auto"/>
              <w:ind w:left="40"/>
              <w:rPr>
                <w:rFonts w:ascii="Times New Roman" w:hAnsi="Times New Roman"/>
                <w:sz w:val="24"/>
                <w:szCs w:val="24"/>
                <w:lang w:val="en-US"/>
              </w:rPr>
            </w:pPr>
            <w:r>
              <w:rPr>
                <w:rFonts w:ascii="Arial" w:eastAsia="Arial" w:hAnsi="Arial" w:cs="Arial"/>
                <w:color w:val="1F1A17"/>
                <w:sz w:val="5"/>
                <w:szCs w:val="5"/>
              </w:rPr>
              <w:t>a</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2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7" w:lineRule="auto"/>
              <w:rPr>
                <w:rFonts w:ascii="Times New Roman" w:hAnsi="Times New Roman"/>
                <w:sz w:val="24"/>
                <w:szCs w:val="24"/>
                <w:lang w:val="en-US"/>
              </w:rPr>
            </w:pPr>
            <w:r>
              <w:rPr>
                <w:rFonts w:ascii="Arial" w:eastAsia="Arial" w:hAnsi="Arial" w:cs="Arial"/>
                <w:color w:val="1F1A17"/>
                <w:sz w:val="5"/>
                <w:szCs w:val="5"/>
              </w:rPr>
              <w:t>a</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7" w:lineRule="auto"/>
              <w:ind w:left="80"/>
              <w:rPr>
                <w:rFonts w:ascii="Times New Roman" w:hAnsi="Times New Roman"/>
                <w:sz w:val="24"/>
                <w:szCs w:val="24"/>
                <w:lang w:val="en-US"/>
              </w:rPr>
            </w:pPr>
            <w:r>
              <w:rPr>
                <w:rFonts w:ascii="Arial" w:eastAsia="Arial" w:hAnsi="Arial" w:cs="Arial"/>
                <w:color w:val="1F1A17"/>
                <w:sz w:val="5"/>
                <w:szCs w:val="5"/>
              </w:rPr>
              <w:t xml:space="preserve">r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2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0" w:lineRule="auto"/>
              <w:rPr>
                <w:rFonts w:ascii="Times New Roman" w:hAnsi="Times New Roman"/>
                <w:sz w:val="24"/>
                <w:szCs w:val="24"/>
                <w:lang w:val="en-US"/>
              </w:rPr>
            </w:pPr>
            <w:r>
              <w:rPr>
                <w:rFonts w:ascii="Arial" w:eastAsia="Arial" w:hAnsi="Arial" w:cs="Arial"/>
                <w:color w:val="1F1A17"/>
                <w:sz w:val="7"/>
                <w:szCs w:val="7"/>
              </w:rPr>
              <w:t xml:space="preserve">m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7" w:lineRule="auto"/>
              <w:ind w:left="20"/>
              <w:rPr>
                <w:rFonts w:ascii="Times New Roman" w:hAnsi="Times New Roman"/>
                <w:sz w:val="24"/>
                <w:szCs w:val="24"/>
                <w:lang w:val="en-US"/>
              </w:rPr>
            </w:pPr>
            <w:r>
              <w:rPr>
                <w:rFonts w:ascii="Arial" w:eastAsia="Arial" w:hAnsi="Arial" w:cs="Arial"/>
                <w:color w:val="1F1A17"/>
                <w:sz w:val="5"/>
                <w:szCs w:val="5"/>
              </w:rPr>
              <w:t xml:space="preserve">n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197" w:lineRule="auto"/>
              <w:ind w:left="40"/>
              <w:rPr>
                <w:rFonts w:ascii="Times New Roman" w:hAnsi="Times New Roman"/>
                <w:sz w:val="24"/>
                <w:szCs w:val="24"/>
                <w:lang w:val="en-US"/>
              </w:rPr>
            </w:pPr>
            <w:r>
              <w:rPr>
                <w:rFonts w:ascii="Arial" w:eastAsia="Arial" w:hAnsi="Arial" w:cs="Arial"/>
                <w:color w:val="1F1A17"/>
                <w:sz w:val="5"/>
                <w:szCs w:val="5"/>
              </w:rPr>
              <w:t>I</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0"/>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2"/>
                <w:szCs w:val="2"/>
              </w:rPr>
              <w:t xml:space="preserve">J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2"/>
                <w:szCs w:val="2"/>
              </w:rPr>
              <w:t xml:space="preserve">C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8" w:lineRule="auto"/>
              <w:rPr>
                <w:rFonts w:ascii="Times New Roman" w:hAnsi="Times New Roman"/>
                <w:sz w:val="24"/>
                <w:szCs w:val="24"/>
                <w:lang w:val="en-US"/>
              </w:rPr>
            </w:pPr>
            <w:r>
              <w:rPr>
                <w:rFonts w:ascii="Arial" w:eastAsia="Arial" w:hAnsi="Arial" w:cs="Arial"/>
                <w:color w:val="1F1A17"/>
                <w:sz w:val="2"/>
                <w:szCs w:val="2"/>
              </w:rPr>
              <w:t xml:space="preserve">r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2"/>
                <w:szCs w:val="2"/>
              </w:rPr>
              <w:t xml:space="preserve">B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2"/>
                <w:szCs w:val="2"/>
              </w:rPr>
              <w:t>a</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75"/>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4" w:lineRule="auto"/>
              <w:ind w:left="20"/>
              <w:rPr>
                <w:rFonts w:ascii="Times New Roman" w:hAnsi="Times New Roman"/>
                <w:sz w:val="24"/>
                <w:szCs w:val="24"/>
                <w:lang w:val="en-US"/>
              </w:rPr>
            </w:pPr>
            <w:r>
              <w:rPr>
                <w:rFonts w:ascii="Arial" w:eastAsia="Arial" w:hAnsi="Arial" w:cs="Arial"/>
                <w:color w:val="1F1A17"/>
                <w:sz w:val="8"/>
                <w:szCs w:val="8"/>
              </w:rPr>
              <w:t xml:space="preserve">F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4" w:lineRule="auto"/>
              <w:ind w:left="100"/>
              <w:rPr>
                <w:rFonts w:ascii="Times New Roman" w:hAnsi="Times New Roman"/>
                <w:sz w:val="24"/>
                <w:szCs w:val="24"/>
                <w:lang w:val="en-US"/>
              </w:rPr>
            </w:pPr>
            <w:r>
              <w:rPr>
                <w:rFonts w:ascii="Arial" w:eastAsia="Arial" w:hAnsi="Arial" w:cs="Arial"/>
                <w:color w:val="1F1A17"/>
                <w:sz w:val="8"/>
                <w:szCs w:val="8"/>
              </w:rPr>
              <w:t xml:space="preserve">r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32" w:lineRule="auto"/>
              <w:rPr>
                <w:rFonts w:ascii="Times New Roman" w:hAnsi="Times New Roman"/>
                <w:sz w:val="24"/>
                <w:szCs w:val="24"/>
                <w:lang w:val="en-US"/>
              </w:rPr>
            </w:pPr>
            <w:r>
              <w:rPr>
                <w:rFonts w:ascii="Arial" w:eastAsia="Arial" w:hAnsi="Arial" w:cs="Arial"/>
                <w:color w:val="1F1A17"/>
                <w:sz w:val="12"/>
                <w:szCs w:val="12"/>
              </w:rPr>
              <w:t xml:space="preserve">C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59"/>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04" w:lineRule="auto"/>
              <w:ind w:left="60"/>
              <w:rPr>
                <w:rFonts w:ascii="Times New Roman" w:hAnsi="Times New Roman"/>
                <w:sz w:val="24"/>
                <w:szCs w:val="24"/>
                <w:lang w:val="en-US"/>
              </w:rPr>
            </w:pPr>
            <w:r>
              <w:rPr>
                <w:rFonts w:ascii="Arial" w:eastAsia="Arial" w:hAnsi="Arial" w:cs="Arial"/>
                <w:color w:val="1F1A17"/>
                <w:sz w:val="6"/>
                <w:szCs w:val="6"/>
              </w:rPr>
              <w:t xml:space="preserve">e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63"/>
        </w:trPr>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G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bl>
    <w:p w:rsidR="00493D0A" w:rsidRPr="0087022D" w:rsidP="00493D0A">
      <w:pPr>
        <w:widowControl w:val="0"/>
        <w:autoSpaceDE w:val="0"/>
        <w:autoSpaceDN w:val="0"/>
        <w:adjustRightInd w:val="0"/>
        <w:spacing w:after="0" w:line="64" w:lineRule="exact"/>
        <w:rPr>
          <w:rFonts w:ascii="Times New Roman" w:hAnsi="Times New Roman"/>
          <w:sz w:val="24"/>
          <w:szCs w:val="24"/>
          <w:lang w:val="en-US"/>
        </w:rPr>
      </w:pPr>
      <w:r w:rsidRPr="0087022D">
        <w:rPr>
          <w:rFonts w:ascii="Times New Roman" w:hAnsi="Times New Roman"/>
          <w:sz w:val="24"/>
          <w:szCs w:val="24"/>
          <w:lang w:val="en-US"/>
        </w:rPr>
        <w:br w:type="column"/>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UK</w:t>
      </w:r>
    </w:p>
    <w:p w:rsidR="00493D0A" w:rsidRPr="0087022D" w:rsidP="00493D0A">
      <w:pPr>
        <w:widowControl w:val="0"/>
        <w:autoSpaceDE w:val="0"/>
        <w:autoSpaceDN w:val="0"/>
        <w:adjustRightInd w:val="0"/>
        <w:spacing w:after="0" w:line="20" w:lineRule="exact"/>
        <w:rPr>
          <w:rFonts w:ascii="Times New Roman" w:hAnsi="Times New Roman"/>
          <w:sz w:val="24"/>
          <w:szCs w:val="24"/>
          <w:lang w:val="en-US"/>
        </w:rPr>
      </w:pPr>
      <w:r w:rsidRPr="0087022D">
        <w:rPr>
          <w:rFonts w:ascii="Times New Roman" w:hAnsi="Times New Roman"/>
          <w:sz w:val="24"/>
          <w:szCs w:val="24"/>
          <w:lang w:val="en-US"/>
        </w:rPr>
        <w:br w:type="column"/>
      </w:r>
    </w:p>
    <w:p w:rsidR="00493D0A" w:rsidRPr="0087022D" w:rsidP="00493D0A">
      <w:pPr>
        <w:widowControl w:val="0"/>
        <w:autoSpaceDE w:val="0"/>
        <w:autoSpaceDN w:val="0"/>
        <w:adjustRightInd w:val="0"/>
        <w:spacing w:after="0" w:line="1" w:lineRule="exact"/>
        <w:rPr>
          <w:rFonts w:ascii="Times New Roman" w:hAnsi="Times New Roman"/>
          <w:sz w:val="2"/>
          <w:szCs w:val="2"/>
          <w:lang w:val="en-US"/>
        </w:rPr>
      </w:pPr>
    </w:p>
    <w:tbl>
      <w:tblPr>
        <w:tblW w:w="0" w:type="auto"/>
        <w:tblLayout w:type="fixed"/>
        <w:tblCellMar>
          <w:left w:w="0" w:type="dxa"/>
          <w:right w:w="0" w:type="dxa"/>
        </w:tblCellMar>
        <w:tblLook w:val="0000"/>
      </w:tblPr>
      <w:tblGrid>
        <w:gridCol w:w="120"/>
        <w:gridCol w:w="120"/>
        <w:gridCol w:w="100"/>
        <w:gridCol w:w="160"/>
        <w:gridCol w:w="40"/>
        <w:gridCol w:w="100"/>
        <w:gridCol w:w="20"/>
      </w:tblGrid>
      <w:tr w:rsidTr="00036A52">
        <w:tblPrEx>
          <w:tblW w:w="0" w:type="auto"/>
          <w:tblLayout w:type="fixed"/>
          <w:tblCellMar>
            <w:left w:w="0" w:type="dxa"/>
            <w:right w:w="0" w:type="dxa"/>
          </w:tblCellMar>
          <w:tblLook w:val="0000"/>
        </w:tblPrEx>
        <w:trPr>
          <w:trHeight w:val="153"/>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2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
              <w:rPr>
                <w:rFonts w:ascii="Times New Roman" w:hAnsi="Times New Roman"/>
                <w:sz w:val="24"/>
                <w:szCs w:val="24"/>
                <w:lang w:val="en-US"/>
              </w:rPr>
            </w:pPr>
            <w:r>
              <w:rPr>
                <w:rFonts w:ascii="Arial" w:eastAsia="Arial" w:hAnsi="Arial" w:cs="Arial"/>
                <w:color w:val="1F1A17"/>
                <w:sz w:val="12"/>
                <w:szCs w:val="12"/>
              </w:rPr>
              <w:t>in</w:t>
            </w: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a</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50"/>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2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4" w:lineRule="auto"/>
              <w:rPr>
                <w:rFonts w:ascii="Times New Roman" w:hAnsi="Times New Roman"/>
                <w:sz w:val="24"/>
                <w:szCs w:val="24"/>
                <w:lang w:val="en-US"/>
              </w:rPr>
            </w:pPr>
            <w:r>
              <w:rPr>
                <w:rFonts w:ascii="Arial" w:eastAsia="Arial" w:hAnsi="Arial" w:cs="Arial"/>
                <w:color w:val="1F1A17"/>
                <w:sz w:val="8"/>
                <w:szCs w:val="8"/>
              </w:rPr>
              <w:t>a</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1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8" w:lineRule="auto"/>
              <w:rPr>
                <w:rFonts w:ascii="Times New Roman" w:hAnsi="Times New Roman"/>
                <w:sz w:val="24"/>
                <w:szCs w:val="24"/>
                <w:lang w:val="en-US"/>
              </w:rPr>
            </w:pPr>
            <w:r>
              <w:rPr>
                <w:rFonts w:ascii="Arial" w:eastAsia="Arial" w:hAnsi="Arial" w:cs="Arial"/>
                <w:color w:val="1F1A17"/>
                <w:sz w:val="5"/>
                <w:szCs w:val="5"/>
              </w:rPr>
              <w:t xml:space="preserve">e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4"/>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00"/>
              <w:rPr>
                <w:rFonts w:ascii="Times New Roman" w:hAnsi="Times New Roman"/>
                <w:sz w:val="24"/>
                <w:szCs w:val="24"/>
                <w:lang w:val="en-US"/>
              </w:rPr>
            </w:pPr>
            <w:r>
              <w:rPr>
                <w:rFonts w:ascii="Arial" w:eastAsia="Arial" w:hAnsi="Arial" w:cs="Arial"/>
                <w:color w:val="1F1A17"/>
                <w:sz w:val="2"/>
                <w:szCs w:val="2"/>
              </w:rPr>
              <w:t xml:space="preserve">r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74"/>
        </w:trPr>
        <w:tc>
          <w:tcPr>
            <w:tcW w:w="2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93" w:lineRule="auto"/>
              <w:ind w:left="60"/>
              <w:rPr>
                <w:rFonts w:ascii="Times New Roman" w:hAnsi="Times New Roman"/>
                <w:sz w:val="24"/>
                <w:szCs w:val="24"/>
                <w:lang w:val="en-US"/>
              </w:rPr>
            </w:pPr>
            <w:r>
              <w:rPr>
                <w:rFonts w:ascii="Arial" w:eastAsia="Arial" w:hAnsi="Arial" w:cs="Arial"/>
                <w:color w:val="1F1A17"/>
                <w:sz w:val="8"/>
                <w:szCs w:val="8"/>
              </w:rPr>
              <w:t xml:space="preserve">p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193" w:lineRule="auto"/>
              <w:ind w:left="60"/>
              <w:rPr>
                <w:rFonts w:ascii="Times New Roman" w:hAnsi="Times New Roman"/>
                <w:sz w:val="24"/>
                <w:szCs w:val="24"/>
                <w:lang w:val="en-US"/>
              </w:rPr>
            </w:pPr>
            <w:r>
              <w:rPr>
                <w:rFonts w:ascii="Arial" w:eastAsia="Arial" w:hAnsi="Arial" w:cs="Arial"/>
                <w:color w:val="1F1A17"/>
                <w:sz w:val="8"/>
                <w:szCs w:val="8"/>
              </w:rPr>
              <w:t xml:space="preserve">o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58"/>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 xml:space="preserve">S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 xml:space="preserve">h </w:t>
            </w: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 xml:space="preserve">K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24"/>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60"/>
              <w:rPr>
                <w:rFonts w:ascii="Times New Roman" w:hAnsi="Times New Roman"/>
                <w:sz w:val="24"/>
                <w:szCs w:val="24"/>
                <w:lang w:val="en-US"/>
              </w:rPr>
            </w:pPr>
            <w:r>
              <w:rPr>
                <w:rFonts w:ascii="Arial" w:eastAsia="Arial" w:hAnsi="Arial" w:cs="Arial"/>
                <w:color w:val="1F1A17"/>
                <w:sz w:val="2"/>
                <w:szCs w:val="2"/>
              </w:rPr>
              <w:t xml:space="preserve">t </w:t>
            </w: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74"/>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193" w:lineRule="auto"/>
              <w:ind w:left="20"/>
              <w:rPr>
                <w:rFonts w:ascii="Times New Roman" w:hAnsi="Times New Roman"/>
                <w:sz w:val="24"/>
                <w:szCs w:val="24"/>
                <w:lang w:val="en-US"/>
              </w:rPr>
            </w:pPr>
            <w:r>
              <w:rPr>
                <w:rFonts w:ascii="Arial" w:eastAsia="Arial" w:hAnsi="Arial" w:cs="Arial"/>
                <w:color w:val="1F1A17"/>
                <w:sz w:val="8"/>
                <w:szCs w:val="8"/>
              </w:rPr>
              <w:t xml:space="preserve">u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62"/>
        </w:trPr>
        <w:tc>
          <w:tcPr>
            <w:tcW w:w="2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83" w:lineRule="auto"/>
              <w:ind w:left="80"/>
              <w:rPr>
                <w:rFonts w:ascii="Times New Roman" w:hAnsi="Times New Roman"/>
                <w:sz w:val="24"/>
                <w:szCs w:val="24"/>
                <w:lang w:val="en-US"/>
              </w:rPr>
            </w:pPr>
            <w:r>
              <w:rPr>
                <w:rFonts w:ascii="Arial" w:eastAsia="Arial" w:hAnsi="Arial" w:cs="Arial"/>
                <w:color w:val="1F1A17"/>
                <w:sz w:val="7"/>
                <w:szCs w:val="7"/>
              </w:rPr>
              <w:t xml:space="preserve">o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50"/>
        </w:trPr>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S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3"/>
                <w:szCs w:val="13"/>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bl>
    <w:p w:rsidR="00493D0A" w:rsidRPr="0087022D" w:rsidP="00493D0A">
      <w:pPr>
        <w:widowControl w:val="0"/>
        <w:autoSpaceDE w:val="0"/>
        <w:autoSpaceDN w:val="0"/>
        <w:adjustRightInd w:val="0"/>
        <w:spacing w:after="0" w:line="20" w:lineRule="exact"/>
        <w:rPr>
          <w:rFonts w:ascii="Times New Roman" w:hAnsi="Times New Roman"/>
          <w:sz w:val="24"/>
          <w:szCs w:val="24"/>
          <w:lang w:val="en-US"/>
        </w:rPr>
      </w:pPr>
      <w:r w:rsidRPr="0087022D">
        <w:rPr>
          <w:rFonts w:ascii="Times New Roman" w:hAnsi="Times New Roman"/>
          <w:sz w:val="24"/>
          <w:szCs w:val="24"/>
          <w:lang w:val="en-US"/>
        </w:rPr>
        <w:br w:type="column"/>
      </w:r>
    </w:p>
    <w:p w:rsidR="00493D0A" w:rsidRPr="0087022D" w:rsidP="00493D0A">
      <w:pPr>
        <w:widowControl w:val="0"/>
        <w:autoSpaceDE w:val="0"/>
        <w:autoSpaceDN w:val="0"/>
        <w:adjustRightInd w:val="0"/>
        <w:spacing w:after="0" w:line="1" w:lineRule="exact"/>
        <w:rPr>
          <w:rFonts w:ascii="Times New Roman" w:hAnsi="Times New Roman"/>
          <w:sz w:val="2"/>
          <w:szCs w:val="2"/>
          <w:lang w:val="en-US"/>
        </w:rPr>
      </w:pPr>
    </w:p>
    <w:tbl>
      <w:tblPr>
        <w:tblW w:w="0" w:type="auto"/>
        <w:tblLayout w:type="fixed"/>
        <w:tblCellMar>
          <w:left w:w="0" w:type="dxa"/>
          <w:right w:w="0" w:type="dxa"/>
        </w:tblCellMar>
        <w:tblLook w:val="0000"/>
      </w:tblPr>
      <w:tblGrid>
        <w:gridCol w:w="340"/>
        <w:gridCol w:w="300"/>
        <w:gridCol w:w="80"/>
        <w:gridCol w:w="220"/>
        <w:gridCol w:w="220"/>
        <w:gridCol w:w="60"/>
        <w:gridCol w:w="180"/>
        <w:gridCol w:w="80"/>
        <w:gridCol w:w="60"/>
        <w:gridCol w:w="40"/>
        <w:gridCol w:w="60"/>
        <w:gridCol w:w="80"/>
        <w:gridCol w:w="40"/>
        <w:gridCol w:w="80"/>
        <w:gridCol w:w="40"/>
        <w:gridCol w:w="120"/>
        <w:gridCol w:w="60"/>
        <w:gridCol w:w="80"/>
        <w:gridCol w:w="140"/>
        <w:gridCol w:w="60"/>
        <w:gridCol w:w="120"/>
        <w:gridCol w:w="100"/>
        <w:gridCol w:w="240"/>
        <w:gridCol w:w="360"/>
        <w:gridCol w:w="20"/>
      </w:tblGrid>
      <w:tr w:rsidTr="00036A52">
        <w:tblPrEx>
          <w:tblW w:w="0" w:type="auto"/>
          <w:tblLayout w:type="fixed"/>
          <w:tblCellMar>
            <w:left w:w="0" w:type="dxa"/>
            <w:right w:w="0" w:type="dxa"/>
          </w:tblCellMar>
          <w:tblLook w:val="0000"/>
        </w:tblPrEx>
        <w:trPr>
          <w:trHeight w:val="148"/>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60"/>
              <w:rPr>
                <w:rFonts w:ascii="Times New Roman" w:hAnsi="Times New Roman"/>
                <w:sz w:val="24"/>
                <w:szCs w:val="24"/>
                <w:lang w:val="en-US"/>
              </w:rPr>
            </w:pPr>
            <w:r>
              <w:rPr>
                <w:rFonts w:ascii="Arial" w:eastAsia="Arial" w:hAnsi="Arial" w:cs="Arial"/>
                <w:color w:val="1F1A17"/>
                <w:sz w:val="12"/>
                <w:szCs w:val="12"/>
              </w:rPr>
              <w:t>ia</w:t>
            </w:r>
          </w:p>
        </w:tc>
        <w:tc>
          <w:tcPr>
            <w:tcW w:w="3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20"/>
              <w:rPr>
                <w:rFonts w:ascii="Times New Roman" w:hAnsi="Times New Roman"/>
                <w:sz w:val="24"/>
                <w:szCs w:val="24"/>
                <w:lang w:val="en-US"/>
              </w:rPr>
            </w:pPr>
            <w:r>
              <w:rPr>
                <w:rFonts w:ascii="Arial" w:eastAsia="Arial" w:hAnsi="Arial" w:cs="Arial"/>
                <w:color w:val="1F1A17"/>
                <w:sz w:val="12"/>
                <w:szCs w:val="12"/>
              </w:rPr>
              <w:t>ia</w:t>
            </w: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o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
              <w:rPr>
                <w:rFonts w:ascii="Times New Roman" w:hAnsi="Times New Roman"/>
                <w:sz w:val="24"/>
                <w:szCs w:val="24"/>
                <w:lang w:val="en-US"/>
              </w:rPr>
            </w:pPr>
            <w:r>
              <w:rPr>
                <w:rFonts w:ascii="Arial" w:eastAsia="Arial" w:hAnsi="Arial" w:cs="Arial"/>
                <w:color w:val="1F1A17"/>
                <w:sz w:val="12"/>
                <w:szCs w:val="12"/>
              </w:rPr>
              <w:t>ia</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12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y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260" w:type="dxa"/>
            <w:gridSpan w:val="3"/>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60"/>
              <w:rPr>
                <w:rFonts w:ascii="Times New Roman" w:hAnsi="Times New Roman"/>
                <w:sz w:val="24"/>
                <w:szCs w:val="24"/>
                <w:lang w:val="en-US"/>
              </w:rPr>
            </w:pPr>
            <w:r>
              <w:rPr>
                <w:rFonts w:ascii="Arial" w:eastAsia="Arial" w:hAnsi="Arial" w:cs="Arial"/>
                <w:color w:val="1F1A17"/>
                <w:sz w:val="12"/>
                <w:szCs w:val="12"/>
              </w:rPr>
              <w:t>nd</w:t>
            </w: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18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n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2"/>
                <w:szCs w:val="12"/>
                <w:lang w:val="en-US"/>
              </w:rPr>
            </w:pPr>
          </w:p>
        </w:tc>
        <w:tc>
          <w:tcPr>
            <w:tcW w:w="2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iu</w:t>
            </w:r>
          </w:p>
        </w:tc>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40"/>
              <w:rPr>
                <w:rFonts w:ascii="Times New Roman" w:hAnsi="Times New Roman"/>
                <w:sz w:val="24"/>
                <w:szCs w:val="24"/>
                <w:lang w:val="en-US"/>
              </w:rPr>
            </w:pPr>
            <w:r>
              <w:rPr>
                <w:rFonts w:ascii="Arial" w:eastAsia="Arial" w:hAnsi="Arial" w:cs="Arial"/>
                <w:color w:val="1F1A17"/>
                <w:sz w:val="12"/>
                <w:szCs w:val="12"/>
              </w:rPr>
              <w:t xml:space="preserve">la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30"/>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120"/>
              <w:rPr>
                <w:rFonts w:ascii="Times New Roman" w:hAnsi="Times New Roman"/>
                <w:sz w:val="24"/>
                <w:szCs w:val="24"/>
                <w:lang w:val="en-US"/>
              </w:rPr>
            </w:pPr>
            <w:r>
              <w:rPr>
                <w:rFonts w:ascii="Arial" w:eastAsia="Arial" w:hAnsi="Arial" w:cs="Arial"/>
                <w:color w:val="1F1A17"/>
                <w:sz w:val="3"/>
                <w:szCs w:val="3"/>
              </w:rPr>
              <w:t xml:space="preserve">d </w:t>
            </w: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160"/>
              <w:rPr>
                <w:rFonts w:ascii="Times New Roman" w:hAnsi="Times New Roman"/>
                <w:sz w:val="24"/>
                <w:szCs w:val="24"/>
                <w:lang w:val="en-US"/>
              </w:rPr>
            </w:pPr>
            <w:r>
              <w:rPr>
                <w:rFonts w:ascii="Arial" w:eastAsia="Arial" w:hAnsi="Arial" w:cs="Arial"/>
                <w:color w:val="1F1A17"/>
                <w:sz w:val="3"/>
                <w:szCs w:val="3"/>
              </w:rPr>
              <w:t>a</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5" w:lineRule="auto"/>
              <w:ind w:left="140"/>
              <w:rPr>
                <w:rFonts w:ascii="Times New Roman" w:hAnsi="Times New Roman"/>
                <w:sz w:val="24"/>
                <w:szCs w:val="24"/>
                <w:lang w:val="en-US"/>
              </w:rPr>
            </w:pPr>
            <w:r>
              <w:rPr>
                <w:rFonts w:ascii="Arial" w:eastAsia="Arial" w:hAnsi="Arial" w:cs="Arial"/>
                <w:color w:val="1F1A17"/>
                <w:sz w:val="10"/>
                <w:szCs w:val="10"/>
              </w:rPr>
              <w:t>ic</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rPr>
                <w:rFonts w:ascii="Times New Roman" w:hAnsi="Times New Roman"/>
                <w:sz w:val="24"/>
                <w:szCs w:val="24"/>
                <w:lang w:val="en-US"/>
              </w:rPr>
            </w:pPr>
            <w:r>
              <w:rPr>
                <w:rFonts w:ascii="Arial" w:eastAsia="Arial" w:hAnsi="Arial" w:cs="Arial"/>
                <w:color w:val="1F1A17"/>
                <w:sz w:val="3"/>
                <w:szCs w:val="3"/>
              </w:rPr>
              <w:t xml:space="preserve">s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20"/>
              <w:rPr>
                <w:rFonts w:ascii="Times New Roman" w:hAnsi="Times New Roman"/>
                <w:sz w:val="24"/>
                <w:szCs w:val="24"/>
                <w:lang w:val="en-US"/>
              </w:rPr>
            </w:pPr>
            <w:r>
              <w:rPr>
                <w:rFonts w:ascii="Arial" w:eastAsia="Arial" w:hAnsi="Arial" w:cs="Arial"/>
                <w:color w:val="1F1A17"/>
                <w:sz w:val="3"/>
                <w:szCs w:val="3"/>
              </w:rPr>
              <w:t xml:space="preserve">e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60" w:type="dxa"/>
            <w:gridSpan w:val="3"/>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8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200"/>
              <w:rPr>
                <w:rFonts w:ascii="Times New Roman" w:hAnsi="Times New Roman"/>
                <w:sz w:val="24"/>
                <w:szCs w:val="24"/>
                <w:lang w:val="en-US"/>
              </w:rPr>
            </w:pPr>
            <w:r>
              <w:rPr>
                <w:rFonts w:ascii="Arial" w:eastAsia="Arial" w:hAnsi="Arial" w:cs="Arial"/>
                <w:color w:val="1F1A17"/>
                <w:sz w:val="3"/>
                <w:szCs w:val="3"/>
              </w:rPr>
              <w:t xml:space="preserve">e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30"/>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200"/>
              <w:rPr>
                <w:rFonts w:ascii="Times New Roman" w:hAnsi="Times New Roman"/>
                <w:sz w:val="24"/>
                <w:szCs w:val="24"/>
                <w:lang w:val="en-US"/>
              </w:rPr>
            </w:pPr>
            <w:r>
              <w:rPr>
                <w:rFonts w:ascii="Arial" w:eastAsia="Arial" w:hAnsi="Arial" w:cs="Arial"/>
                <w:color w:val="1F1A17"/>
                <w:sz w:val="3"/>
                <w:szCs w:val="3"/>
              </w:rPr>
              <w:t xml:space="preserve">l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10" w:lineRule="auto"/>
              <w:rPr>
                <w:rFonts w:ascii="Times New Roman" w:hAnsi="Times New Roman"/>
                <w:sz w:val="24"/>
                <w:szCs w:val="24"/>
                <w:lang w:val="en-US"/>
              </w:rPr>
            </w:pPr>
            <w:r>
              <w:rPr>
                <w:rFonts w:ascii="Arial" w:eastAsia="Arial" w:hAnsi="Arial" w:cs="Arial"/>
                <w:color w:val="1F1A17"/>
                <w:sz w:val="10"/>
                <w:szCs w:val="10"/>
              </w:rPr>
              <w:t xml:space="preserve">s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10" w:lineRule="auto"/>
              <w:rPr>
                <w:rFonts w:ascii="Times New Roman" w:hAnsi="Times New Roman"/>
                <w:sz w:val="24"/>
                <w:szCs w:val="24"/>
                <w:lang w:val="en-US"/>
              </w:rPr>
            </w:pPr>
            <w:r>
              <w:rPr>
                <w:rFonts w:ascii="Arial" w:eastAsia="Arial" w:hAnsi="Arial" w:cs="Arial"/>
                <w:color w:val="1F1A17"/>
                <w:sz w:val="10"/>
                <w:szCs w:val="10"/>
              </w:rPr>
              <w:t xml:space="preserve">k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20"/>
              <w:rPr>
                <w:rFonts w:ascii="Times New Roman" w:hAnsi="Times New Roman"/>
                <w:sz w:val="24"/>
                <w:szCs w:val="24"/>
                <w:lang w:val="en-US"/>
              </w:rPr>
            </w:pPr>
            <w:r>
              <w:rPr>
                <w:rFonts w:ascii="Arial" w:eastAsia="Arial" w:hAnsi="Arial" w:cs="Arial"/>
                <w:color w:val="1F1A17"/>
                <w:sz w:val="3"/>
                <w:szCs w:val="3"/>
              </w:rPr>
              <w:t xml:space="preserve">d </w:t>
            </w: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40" w:type="dxa"/>
            <w:tcBorders>
              <w:top w:val="nil"/>
              <w:left w:val="nil"/>
              <w:bottom w:val="nil"/>
              <w:right w:val="nil"/>
            </w:tcBorders>
            <w:vAlign w:val="bottom"/>
          </w:tcPr>
          <w:p w:rsidR="00493D0A" w:rsidRPr="0087022D" w:rsidP="00036A52">
            <w:pPr>
              <w:widowControl w:val="0"/>
              <w:autoSpaceDE w:val="0"/>
              <w:autoSpaceDN w:val="0"/>
              <w:adjustRightInd w:val="0"/>
              <w:spacing w:after="0" w:line="205" w:lineRule="auto"/>
              <w:ind w:left="140"/>
              <w:rPr>
                <w:rFonts w:ascii="Times New Roman" w:hAnsi="Times New Roman"/>
                <w:sz w:val="24"/>
                <w:szCs w:val="24"/>
                <w:lang w:val="en-US"/>
              </w:rPr>
            </w:pPr>
            <w:r>
              <w:rPr>
                <w:rFonts w:ascii="Arial" w:eastAsia="Arial" w:hAnsi="Arial" w:cs="Arial"/>
                <w:color w:val="1F1A17"/>
                <w:sz w:val="3"/>
                <w:szCs w:val="3"/>
              </w:rPr>
              <w:t xml:space="preserve">m </w:t>
            </w:r>
          </w:p>
        </w:tc>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71"/>
        </w:trPr>
        <w:tc>
          <w:tcPr>
            <w:tcW w:w="3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08" w:lineRule="auto"/>
              <w:rPr>
                <w:rFonts w:ascii="Times New Roman" w:hAnsi="Times New Roman"/>
                <w:sz w:val="24"/>
                <w:szCs w:val="24"/>
                <w:lang w:val="en-US"/>
              </w:rPr>
            </w:pPr>
            <w:r>
              <w:rPr>
                <w:rFonts w:ascii="Arial" w:eastAsia="Arial" w:hAnsi="Arial" w:cs="Arial"/>
                <w:color w:val="1F1A17"/>
                <w:sz w:val="10"/>
                <w:szCs w:val="10"/>
              </w:rPr>
              <w:t>In</w:t>
            </w:r>
          </w:p>
        </w:tc>
        <w:tc>
          <w:tcPr>
            <w:tcW w:w="30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8" w:lineRule="auto"/>
              <w:ind w:left="20"/>
              <w:rPr>
                <w:rFonts w:ascii="Times New Roman" w:hAnsi="Times New Roman"/>
                <w:sz w:val="24"/>
                <w:szCs w:val="24"/>
                <w:lang w:val="en-US"/>
              </w:rPr>
            </w:pPr>
            <w:r>
              <w:rPr>
                <w:rFonts w:ascii="Arial" w:eastAsia="Arial" w:hAnsi="Arial" w:cs="Arial"/>
                <w:color w:val="1F1A17"/>
                <w:sz w:val="9"/>
                <w:szCs w:val="9"/>
              </w:rPr>
              <w:t xml:space="preserve">s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185" w:lineRule="auto"/>
              <w:ind w:left="100"/>
              <w:rPr>
                <w:rFonts w:ascii="Times New Roman" w:hAnsi="Times New Roman"/>
                <w:sz w:val="24"/>
                <w:szCs w:val="24"/>
                <w:lang w:val="en-US"/>
              </w:rPr>
            </w:pPr>
            <w:r>
              <w:rPr>
                <w:rFonts w:ascii="Arial" w:eastAsia="Arial" w:hAnsi="Arial" w:cs="Arial"/>
                <w:color w:val="1F1A17"/>
                <w:sz w:val="8"/>
                <w:szCs w:val="8"/>
              </w:rPr>
              <w:t xml:space="preserve">x </w:t>
            </w: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8" w:lineRule="auto"/>
              <w:ind w:left="40"/>
              <w:rPr>
                <w:rFonts w:ascii="Times New Roman" w:hAnsi="Times New Roman"/>
                <w:sz w:val="24"/>
                <w:szCs w:val="24"/>
                <w:lang w:val="en-US"/>
              </w:rPr>
            </w:pPr>
            <w:r>
              <w:rPr>
                <w:rFonts w:ascii="Arial" w:eastAsia="Arial" w:hAnsi="Arial" w:cs="Arial"/>
                <w:color w:val="1F1A17"/>
                <w:sz w:val="9"/>
                <w:szCs w:val="9"/>
              </w:rPr>
              <w:t xml:space="preserve">u </w:t>
            </w:r>
          </w:p>
        </w:tc>
        <w:tc>
          <w:tcPr>
            <w:tcW w:w="1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8" w:lineRule="auto"/>
              <w:ind w:left="40"/>
              <w:rPr>
                <w:rFonts w:ascii="Times New Roman" w:hAnsi="Times New Roman"/>
                <w:sz w:val="24"/>
                <w:szCs w:val="24"/>
                <w:lang w:val="en-US"/>
              </w:rPr>
            </w:pPr>
            <w:r>
              <w:rPr>
                <w:rFonts w:ascii="Arial" w:eastAsia="Arial" w:hAnsi="Arial" w:cs="Arial"/>
                <w:color w:val="1F1A17"/>
                <w:sz w:val="9"/>
                <w:szCs w:val="9"/>
              </w:rPr>
              <w:t xml:space="preserve">o </w:t>
            </w: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4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8" w:lineRule="auto"/>
              <w:ind w:left="20"/>
              <w:rPr>
                <w:rFonts w:ascii="Times New Roman" w:hAnsi="Times New Roman"/>
                <w:sz w:val="24"/>
                <w:szCs w:val="24"/>
                <w:lang w:val="en-US"/>
              </w:rPr>
            </w:pPr>
            <w:r>
              <w:rPr>
                <w:rFonts w:ascii="Arial" w:eastAsia="Arial" w:hAnsi="Arial" w:cs="Arial"/>
                <w:color w:val="1F1A17"/>
                <w:sz w:val="9"/>
                <w:szCs w:val="9"/>
              </w:rPr>
              <w:t xml:space="preserve">r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3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81" w:lineRule="auto"/>
              <w:ind w:left="20"/>
              <w:rPr>
                <w:rFonts w:ascii="Times New Roman" w:hAnsi="Times New Roman"/>
                <w:sz w:val="24"/>
                <w:szCs w:val="24"/>
                <w:lang w:val="en-US"/>
              </w:rPr>
            </w:pPr>
            <w:r>
              <w:rPr>
                <w:rFonts w:ascii="Arial" w:eastAsia="Arial" w:hAnsi="Arial" w:cs="Arial"/>
                <w:color w:val="1F1A17"/>
                <w:sz w:val="10"/>
                <w:szCs w:val="10"/>
              </w:rPr>
              <w:t>lg</w:t>
            </w:r>
          </w:p>
        </w:tc>
        <w:tc>
          <w:tcPr>
            <w:tcW w:w="36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8" w:lineRule="auto"/>
              <w:ind w:left="80"/>
              <w:rPr>
                <w:rFonts w:ascii="Times New Roman" w:hAnsi="Times New Roman"/>
                <w:sz w:val="24"/>
                <w:szCs w:val="24"/>
                <w:lang w:val="en-US"/>
              </w:rPr>
            </w:pPr>
            <w:r>
              <w:rPr>
                <w:rFonts w:ascii="Arial" w:eastAsia="Arial" w:hAnsi="Arial" w:cs="Arial"/>
                <w:color w:val="1F1A17"/>
                <w:sz w:val="9"/>
                <w:szCs w:val="9"/>
              </w:rPr>
              <w:t>zu</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4"/>
        </w:trPr>
        <w:tc>
          <w:tcPr>
            <w:tcW w:w="3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0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
              <w:rPr>
                <w:rFonts w:ascii="Times New Roman" w:hAnsi="Times New Roman"/>
                <w:sz w:val="24"/>
                <w:szCs w:val="24"/>
                <w:lang w:val="en-US"/>
              </w:rPr>
            </w:pPr>
            <w:r>
              <w:rPr>
                <w:rFonts w:ascii="Arial" w:eastAsia="Arial" w:hAnsi="Arial" w:cs="Arial"/>
                <w:color w:val="1F1A17"/>
                <w:sz w:val="2"/>
                <w:szCs w:val="2"/>
              </w:rPr>
              <w:t xml:space="preserve">e </w:t>
            </w:r>
          </w:p>
        </w:tc>
        <w:tc>
          <w:tcPr>
            <w:tcW w:w="2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80"/>
              <w:rPr>
                <w:rFonts w:ascii="Times New Roman" w:hAnsi="Times New Roman"/>
                <w:sz w:val="24"/>
                <w:szCs w:val="24"/>
                <w:lang w:val="en-US"/>
              </w:rPr>
            </w:pPr>
            <w:r>
              <w:rPr>
                <w:rFonts w:ascii="Arial" w:eastAsia="Arial" w:hAnsi="Arial" w:cs="Arial"/>
                <w:color w:val="1F1A17"/>
                <w:sz w:val="2"/>
                <w:szCs w:val="2"/>
              </w:rPr>
              <w:t xml:space="preserve">u </w:t>
            </w: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6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4"/>
        </w:trPr>
        <w:tc>
          <w:tcPr>
            <w:tcW w:w="34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80"/>
              <w:rPr>
                <w:rFonts w:ascii="Times New Roman" w:hAnsi="Times New Roman"/>
                <w:sz w:val="24"/>
                <w:szCs w:val="24"/>
                <w:lang w:val="en-US"/>
              </w:rPr>
            </w:pPr>
            <w:r>
              <w:rPr>
                <w:rFonts w:ascii="Arial" w:eastAsia="Arial" w:hAnsi="Arial" w:cs="Arial"/>
                <w:color w:val="1F1A17"/>
                <w:sz w:val="2"/>
                <w:szCs w:val="2"/>
              </w:rPr>
              <w:t xml:space="preserve">tr </w:t>
            </w:r>
          </w:p>
        </w:tc>
        <w:tc>
          <w:tcPr>
            <w:tcW w:w="3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
              <w:rPr>
                <w:rFonts w:ascii="Times New Roman" w:hAnsi="Times New Roman"/>
                <w:sz w:val="24"/>
                <w:szCs w:val="24"/>
                <w:lang w:val="en-US"/>
              </w:rPr>
            </w:pPr>
            <w:r>
              <w:rPr>
                <w:rFonts w:ascii="Arial" w:eastAsia="Arial" w:hAnsi="Arial" w:cs="Arial"/>
                <w:color w:val="1F1A17"/>
                <w:sz w:val="12"/>
                <w:szCs w:val="12"/>
              </w:rPr>
              <w:t xml:space="preserve">M </w:t>
            </w:r>
          </w:p>
        </w:tc>
        <w:tc>
          <w:tcPr>
            <w:tcW w:w="22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14" w:lineRule="auto"/>
              <w:ind w:left="100"/>
              <w:rPr>
                <w:rFonts w:ascii="Times New Roman" w:hAnsi="Times New Roman"/>
                <w:sz w:val="24"/>
                <w:szCs w:val="24"/>
                <w:lang w:val="en-US"/>
              </w:rPr>
            </w:pPr>
            <w:r>
              <w:rPr>
                <w:rFonts w:ascii="Arial" w:eastAsia="Arial" w:hAnsi="Arial" w:cs="Arial"/>
                <w:color w:val="1F1A17"/>
                <w:sz w:val="12"/>
                <w:szCs w:val="12"/>
              </w:rPr>
              <w:t xml:space="preserve">R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14" w:lineRule="auto"/>
              <w:rPr>
                <w:rFonts w:ascii="Times New Roman" w:hAnsi="Times New Roman"/>
                <w:sz w:val="24"/>
                <w:szCs w:val="24"/>
                <w:lang w:val="en-US"/>
              </w:rPr>
            </w:pPr>
            <w:r>
              <w:rPr>
                <w:rFonts w:ascii="Arial" w:eastAsia="Arial" w:hAnsi="Arial" w:cs="Arial"/>
                <w:color w:val="1F1A17"/>
                <w:sz w:val="12"/>
                <w:szCs w:val="12"/>
              </w:rPr>
              <w:t xml:space="preserve">T </w:t>
            </w:r>
          </w:p>
        </w:tc>
        <w:tc>
          <w:tcPr>
            <w:tcW w:w="1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2"/>
                <w:szCs w:val="2"/>
              </w:rPr>
              <w:t xml:space="preserve">r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16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2"/>
                <w:szCs w:val="2"/>
              </w:rPr>
              <w:t xml:space="preserve">la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20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81" w:lineRule="auto"/>
              <w:ind w:left="60"/>
              <w:rPr>
                <w:rFonts w:ascii="Times New Roman" w:hAnsi="Times New Roman"/>
                <w:sz w:val="24"/>
                <w:szCs w:val="24"/>
                <w:lang w:val="en-US"/>
              </w:rPr>
            </w:pPr>
            <w:r>
              <w:rPr>
                <w:rFonts w:ascii="Arial" w:eastAsia="Arial" w:hAnsi="Arial" w:cs="Arial"/>
                <w:color w:val="1F1A17"/>
                <w:sz w:val="10"/>
                <w:szCs w:val="10"/>
              </w:rPr>
              <w:t>i a</w:t>
            </w:r>
          </w:p>
        </w:tc>
        <w:tc>
          <w:tcPr>
            <w:tcW w:w="2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
              <w:rPr>
                <w:rFonts w:ascii="Times New Roman" w:hAnsi="Times New Roman"/>
                <w:sz w:val="24"/>
                <w:szCs w:val="24"/>
                <w:lang w:val="en-US"/>
              </w:rPr>
            </w:pPr>
            <w:r>
              <w:rPr>
                <w:rFonts w:ascii="Arial" w:eastAsia="Arial" w:hAnsi="Arial" w:cs="Arial"/>
                <w:color w:val="1F1A17"/>
                <w:sz w:val="12"/>
                <w:szCs w:val="12"/>
              </w:rPr>
              <w:t>Be</w:t>
            </w:r>
          </w:p>
        </w:tc>
        <w:tc>
          <w:tcPr>
            <w:tcW w:w="24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c>
          <w:tcPr>
            <w:tcW w:w="360" w:type="dxa"/>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14" w:lineRule="auto"/>
              <w:ind w:left="20"/>
              <w:rPr>
                <w:rFonts w:ascii="Times New Roman" w:hAnsi="Times New Roman"/>
                <w:sz w:val="24"/>
                <w:szCs w:val="24"/>
                <w:lang w:val="en-US"/>
              </w:rPr>
            </w:pPr>
            <w:r>
              <w:rPr>
                <w:rFonts w:ascii="Arial" w:eastAsia="Arial" w:hAnsi="Arial" w:cs="Arial"/>
                <w:color w:val="1F1A17"/>
                <w:sz w:val="12"/>
                <w:szCs w:val="12"/>
              </w:rPr>
              <w:t xml:space="preserve">e </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09"/>
        </w:trPr>
        <w:tc>
          <w:tcPr>
            <w:tcW w:w="64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25" w:lineRule="auto"/>
              <w:ind w:left="300"/>
              <w:rPr>
                <w:rFonts w:ascii="Times New Roman" w:hAnsi="Times New Roman"/>
                <w:sz w:val="24"/>
                <w:szCs w:val="24"/>
                <w:lang w:val="en-US"/>
              </w:rPr>
            </w:pPr>
            <w:r>
              <w:rPr>
                <w:rFonts w:ascii="Arial" w:eastAsia="Arial" w:hAnsi="Arial" w:cs="Arial"/>
                <w:color w:val="1F1A17"/>
                <w:sz w:val="12"/>
                <w:szCs w:val="12"/>
              </w:rPr>
              <w:t xml:space="preserve">u </w:t>
            </w:r>
          </w:p>
        </w:tc>
        <w:tc>
          <w:tcPr>
            <w:tcW w:w="3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22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8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1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2"/>
                <w:szCs w:val="12"/>
              </w:rPr>
              <w:t xml:space="preserve">P </w:t>
            </w: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22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he</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2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360" w:type="dxa"/>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9"/>
                <w:szCs w:val="9"/>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31"/>
        </w:trPr>
        <w:tc>
          <w:tcPr>
            <w:tcW w:w="64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3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22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600" w:type="dxa"/>
            <w:gridSpan w:val="2"/>
            <w:vMerge w:val="restart"/>
            <w:tcBorders>
              <w:top w:val="nil"/>
              <w:left w:val="nil"/>
              <w:bottom w:val="nil"/>
              <w:right w:val="nil"/>
            </w:tcBorders>
            <w:vAlign w:val="bottom"/>
          </w:tcPr>
          <w:p w:rsidR="00493D0A" w:rsidRPr="0087022D" w:rsidP="00036A52">
            <w:pPr>
              <w:widowControl w:val="0"/>
              <w:autoSpaceDE w:val="0"/>
              <w:autoSpaceDN w:val="0"/>
              <w:adjustRightInd w:val="0"/>
              <w:spacing w:after="0" w:line="191" w:lineRule="auto"/>
              <w:ind w:left="140"/>
              <w:rPr>
                <w:rFonts w:ascii="Times New Roman" w:hAnsi="Times New Roman"/>
                <w:sz w:val="24"/>
                <w:szCs w:val="24"/>
                <w:lang w:val="en-US"/>
              </w:rPr>
            </w:pPr>
            <w:r>
              <w:rPr>
                <w:rFonts w:ascii="Arial" w:eastAsia="Arial" w:hAnsi="Arial" w:cs="Arial"/>
                <w:color w:val="1F1A17"/>
                <w:sz w:val="12"/>
                <w:szCs w:val="12"/>
              </w:rPr>
              <w:t>en</w:t>
            </w: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0" w:lineRule="exact"/>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79"/>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182" w:lineRule="auto"/>
              <w:ind w:left="240"/>
              <w:rPr>
                <w:rFonts w:ascii="Times New Roman" w:hAnsi="Times New Roman"/>
                <w:sz w:val="24"/>
                <w:szCs w:val="24"/>
                <w:lang w:val="en-US"/>
              </w:rPr>
            </w:pPr>
            <w:r>
              <w:rPr>
                <w:rFonts w:ascii="Arial" w:eastAsia="Arial" w:hAnsi="Arial" w:cs="Arial"/>
                <w:color w:val="1F1A17"/>
                <w:sz w:val="9"/>
                <w:szCs w:val="9"/>
              </w:rPr>
              <w:t>A</w:t>
            </w: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4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82" w:lineRule="auto"/>
              <w:rPr>
                <w:rFonts w:ascii="Times New Roman" w:hAnsi="Times New Roman"/>
                <w:sz w:val="24"/>
                <w:szCs w:val="24"/>
                <w:lang w:val="en-US"/>
              </w:rPr>
            </w:pPr>
            <w:r>
              <w:rPr>
                <w:rFonts w:ascii="Arial" w:eastAsia="Arial" w:hAnsi="Arial" w:cs="Arial"/>
                <w:color w:val="1F1A17"/>
                <w:sz w:val="9"/>
                <w:szCs w:val="9"/>
              </w:rPr>
              <w:t xml:space="preserve">t </w:t>
            </w: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600" w:type="dxa"/>
            <w:gridSpan w:val="2"/>
            <w:vMerge/>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63"/>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80" w:type="dxa"/>
            <w:gridSpan w:val="2"/>
            <w:tcBorders>
              <w:top w:val="nil"/>
              <w:left w:val="nil"/>
              <w:bottom w:val="nil"/>
              <w:right w:val="nil"/>
            </w:tcBorders>
            <w:vAlign w:val="bottom"/>
          </w:tcPr>
          <w:p w:rsidR="00493D0A" w:rsidRPr="0087022D" w:rsidP="00036A52">
            <w:pPr>
              <w:widowControl w:val="0"/>
              <w:autoSpaceDE w:val="0"/>
              <w:autoSpaceDN w:val="0"/>
              <w:adjustRightInd w:val="0"/>
              <w:spacing w:after="0" w:line="187" w:lineRule="auto"/>
              <w:ind w:left="80"/>
              <w:rPr>
                <w:rFonts w:ascii="Times New Roman" w:hAnsi="Times New Roman"/>
                <w:sz w:val="24"/>
                <w:szCs w:val="24"/>
                <w:lang w:val="en-US"/>
              </w:rPr>
            </w:pPr>
            <w:r>
              <w:rPr>
                <w:rFonts w:ascii="Arial" w:eastAsia="Arial" w:hAnsi="Arial" w:cs="Arial"/>
                <w:color w:val="1F1A17"/>
                <w:sz w:val="7"/>
                <w:szCs w:val="7"/>
              </w:rPr>
              <w:t xml:space="preserve">e </w:t>
            </w: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40" w:type="dxa"/>
            <w:tcBorders>
              <w:top w:val="nil"/>
              <w:left w:val="nil"/>
              <w:bottom w:val="nil"/>
              <w:right w:val="nil"/>
            </w:tcBorders>
            <w:vAlign w:val="bottom"/>
          </w:tcPr>
          <w:p w:rsidR="00493D0A" w:rsidRPr="0087022D" w:rsidP="00036A52">
            <w:pPr>
              <w:widowControl w:val="0"/>
              <w:autoSpaceDE w:val="0"/>
              <w:autoSpaceDN w:val="0"/>
              <w:adjustRightInd w:val="0"/>
              <w:spacing w:after="0" w:line="187" w:lineRule="auto"/>
              <w:ind w:left="80"/>
              <w:rPr>
                <w:rFonts w:ascii="Times New Roman" w:hAnsi="Times New Roman"/>
                <w:sz w:val="24"/>
                <w:szCs w:val="24"/>
                <w:lang w:val="en-US"/>
              </w:rPr>
            </w:pPr>
            <w:r>
              <w:rPr>
                <w:rFonts w:ascii="Arial" w:eastAsia="Arial" w:hAnsi="Arial" w:cs="Arial"/>
                <w:color w:val="1F1A17"/>
                <w:sz w:val="7"/>
                <w:szCs w:val="7"/>
              </w:rPr>
              <w:t xml:space="preserve">V </w:t>
            </w:r>
          </w:p>
        </w:tc>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163"/>
        </w:trPr>
        <w:tc>
          <w:tcPr>
            <w:tcW w:w="3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3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2"/>
                <w:szCs w:val="12"/>
              </w:rPr>
              <w:t xml:space="preserve">N </w:t>
            </w: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1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4"/>
                <w:szCs w:val="14"/>
                <w:lang w:val="en-US"/>
              </w:rPr>
            </w:pPr>
          </w:p>
        </w:tc>
        <w:tc>
          <w:tcPr>
            <w:tcW w:w="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bl>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1420" w:bottom="320" w:left="4000" w:header="708" w:footer="708" w:gutter="0"/>
          <w:cols w:num="5" w:space="20" w:equalWidth="0">
            <w:col w:w="220" w:space="100"/>
            <w:col w:w="2420" w:space="220"/>
            <w:col w:w="180" w:space="40"/>
            <w:col w:w="640" w:space="20"/>
            <w:col w:w="316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699200" behindDoc="1" locked="0" layoutInCell="0" allowOverlap="1">
            <wp:simplePos x="0" y="0"/>
            <wp:positionH relativeFrom="page">
              <wp:posOffset>0</wp:posOffset>
            </wp:positionH>
            <wp:positionV relativeFrom="page">
              <wp:posOffset>377190</wp:posOffset>
            </wp:positionV>
            <wp:extent cx="7880350" cy="9897110"/>
            <wp:effectExtent l="0" t="0" r="0" b="0"/>
            <wp:wrapNone/>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31461" name="Picture 182"/>
                    <pic:cNvPicPr>
                      <a:picLocks noChangeAspect="1" noChangeArrowheads="1"/>
                    </pic:cNvPicPr>
                  </pic:nvPicPr>
                  <pic:blipFill>
                    <a:blip xmlns:r="http://schemas.openxmlformats.org/officeDocument/2006/relationships" r:embed="rId6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1F1A17"/>
          <w:sz w:val="20"/>
          <w:szCs w:val="20"/>
        </w:rPr>
        <w:t>Büyük ilaç tedarikçileri arasında İngiltere, Almanya, Fransa, İsviçre, ABD ve İtalya bulunmaktadır. Türk ilaç ihracatının ana alıcısı Almanya'dır, onu İspanya, İsviçre, ABD, Polonya ve İngiltere izler.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Kardiyovasküler ilaçların tüketimde lider olduğu Avrupa ve Kuzey Amerika piyasalarının aksine, antibiyotikler, kardiyovasküler ve romatizmal ilaçlar, sinir sistemi ve onkolojik preparatlar Türkiye'nin en yaygın tüketilen ilaçlarıdır ve 2008'de toplam piyasanın %</w:t>
      </w:r>
      <w:r w:rsidR="006B0D54">
        <w:rPr>
          <w:rFonts w:ascii="Arial" w:eastAsia="Arial" w:hAnsi="Arial" w:cs="Arial"/>
          <w:color w:val="1F1A17"/>
          <w:sz w:val="20"/>
          <w:szCs w:val="20"/>
        </w:rPr>
        <w:t>47,4’üne</w:t>
      </w:r>
      <w:r>
        <w:rPr>
          <w:rFonts w:ascii="Arial" w:eastAsia="Arial" w:hAnsi="Arial" w:cs="Arial"/>
          <w:color w:val="1F1A17"/>
          <w:sz w:val="20"/>
          <w:szCs w:val="20"/>
        </w:rPr>
        <w:t xml:space="preserve"> karşılık gelmektedir. Kardiyovasküler ilaçlar Türk piyasasında toplam tüketimin sadece % </w:t>
      </w:r>
      <w:r w:rsidR="006B0D54">
        <w:rPr>
          <w:rFonts w:ascii="Arial" w:eastAsia="Arial" w:hAnsi="Arial" w:cs="Arial"/>
          <w:color w:val="1F1A17"/>
          <w:sz w:val="20"/>
          <w:szCs w:val="20"/>
        </w:rPr>
        <w:t>11,4’ünü</w:t>
      </w:r>
      <w:r>
        <w:rPr>
          <w:rFonts w:ascii="Arial" w:eastAsia="Arial" w:hAnsi="Arial" w:cs="Arial"/>
          <w:color w:val="1F1A17"/>
          <w:sz w:val="20"/>
          <w:szCs w:val="20"/>
        </w:rPr>
        <w:t xml:space="preserve"> oluşturmaktadır</w:t>
      </w:r>
      <w:r w:rsidR="006B0D54">
        <w:rPr>
          <w:rFonts w:ascii="Arial" w:eastAsia="Arial" w:hAnsi="Arial" w:cs="Arial"/>
          <w:color w:val="1F1A17"/>
          <w:sz w:val="20"/>
          <w:szCs w:val="20"/>
        </w:rPr>
        <w:t>.</w:t>
      </w:r>
      <w:r>
        <w:rPr>
          <w:rFonts w:ascii="Arial" w:eastAsia="Arial" w:hAnsi="Arial" w:cs="Arial"/>
          <w:color w:val="1F1A17"/>
          <w:sz w:val="20"/>
          <w:szCs w:val="20"/>
        </w:rPr>
        <w:t xml:space="preserve"> Avrupa İlaç Endüstrileri Kuruluşları Federasyonu'nun raporuna göre Türkiye, Avrupa ülkeleri arasında kişi başına en düşük tüketim rakamlarına sahiptir.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Avrupa Birliği üyeliği talebine rağmen, Türkiye'nin özellikle ilaç patent koruması ve fikri mülkiyet hakları ile uyumu, çekişmeli bir sorun olmaya devam etmektedir.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Son zamanlardaki bir hükümet kararnamesi, veri koruma ve veri imtiyazı sağlamaktadır. Orijinal ürün piyasaya girdikten, sonra bu kararname kapsamında, Dünya Ticaret Örgütü'nün TRIPS anlaşmasına uygun olarak, patentli ilaçlara benzer muadil ilaçlar sadece 6 ila 10 yıl boyunca üretilebilir. Patentler 20 yıl boyunca korunur. </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İlaç piyasasının, yükselen gelir seviyesi ve nüfus artışı ve sağlığa daha fazla önem verilmesi ile birlikte, hızla büyümesi beklenmektedir. İlaç endüstrisi Türkiye'de hükümetin fiyatlar üzerinde önemli kontrole sahip olduğu az sayıda sektörlerden biridir. Tüm ilaçların, ilaç firmalarının fiyatlarını artırabildiği - genellikle toptan ve tüketici fiyat endeksleri </w:t>
      </w:r>
      <w:r w:rsidR="006B0D54">
        <w:rPr>
          <w:rFonts w:ascii="Arial" w:eastAsia="Arial" w:hAnsi="Arial" w:cs="Arial"/>
          <w:color w:val="1F1A17"/>
          <w:sz w:val="20"/>
          <w:szCs w:val="20"/>
        </w:rPr>
        <w:t>artışlarından daha</w:t>
      </w:r>
      <w:r>
        <w:rPr>
          <w:rFonts w:ascii="Arial" w:eastAsia="Arial" w:hAnsi="Arial" w:cs="Arial"/>
          <w:color w:val="1F1A17"/>
          <w:sz w:val="20"/>
          <w:szCs w:val="20"/>
        </w:rPr>
        <w:t xml:space="preserve"> düşük- oranları belirleyen Sağlık Bakanlığı'na kayıtlı olması gerekmektedir. </w:t>
      </w:r>
    </w:p>
    <w:p w:rsidR="00493D0A" w:rsidRPr="0087022D" w:rsidP="00493D0A">
      <w:pPr>
        <w:widowControl w:val="0"/>
        <w:autoSpaceDE w:val="0"/>
        <w:autoSpaceDN w:val="0"/>
        <w:adjustRightInd w:val="0"/>
        <w:spacing w:after="0" w:line="18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Hindistan </w:t>
      </w:r>
    </w:p>
    <w:p w:rsidR="00493D0A" w:rsidRPr="0087022D" w:rsidP="00493D0A">
      <w:pPr>
        <w:widowControl w:val="0"/>
        <w:autoSpaceDE w:val="0"/>
        <w:autoSpaceDN w:val="0"/>
        <w:adjustRightInd w:val="0"/>
        <w:spacing w:after="0" w:line="2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Hint ilaç endüstrisi, dünyanın üçüncü en büyük ilaç sektörüdür ve en gelişmiş sektörlerden biridir. Sanayi, değer açısından küresel ilaç endüstrisinin yaklaşık %</w:t>
      </w:r>
      <w:r w:rsidR="006B0D54">
        <w:rPr>
          <w:rFonts w:ascii="Arial" w:eastAsia="Arial" w:hAnsi="Arial" w:cs="Arial"/>
          <w:color w:val="1F1A17"/>
          <w:sz w:val="20"/>
          <w:szCs w:val="20"/>
        </w:rPr>
        <w:t>2,4’ünü</w:t>
      </w:r>
      <w:r>
        <w:rPr>
          <w:rFonts w:ascii="Arial" w:eastAsia="Arial" w:hAnsi="Arial" w:cs="Arial"/>
          <w:color w:val="1F1A17"/>
          <w:sz w:val="20"/>
          <w:szCs w:val="20"/>
        </w:rPr>
        <w:t xml:space="preserve"> ve hacim bakımından %10'unu oluşturmaktadır. Hint ilaç endüstrisi gelirinin 2012-20 döneminde % </w:t>
      </w:r>
      <w:r w:rsidR="006B0D54">
        <w:rPr>
          <w:rFonts w:ascii="Arial" w:eastAsia="Arial" w:hAnsi="Arial" w:cs="Arial"/>
          <w:color w:val="1F1A17"/>
          <w:sz w:val="20"/>
          <w:szCs w:val="20"/>
        </w:rPr>
        <w:t>12,1’lik</w:t>
      </w:r>
      <w:r>
        <w:rPr>
          <w:rFonts w:ascii="Arial" w:eastAsia="Arial" w:hAnsi="Arial" w:cs="Arial"/>
          <w:color w:val="1F1A17"/>
          <w:sz w:val="20"/>
          <w:szCs w:val="20"/>
        </w:rPr>
        <w:t xml:space="preserve"> bir CAGR'da (Yıllık Bileşik Büyüme Oranı) büyümesi ve 45 milyar USD'ye ulaşması bekleniyor.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Hindistan'ın muadil ilaçları hacim bakımından küresel ihracatın %20'sini oluşturmaktadır, bu da Hindistan'ı küresel çapta muadil ilaçların en büyük sağlayıcısı yapar. 2011 ve 2016 arasında 255 milyar USD değerindeki patent ilaçların patentlerin dışına çıkacağı tahmin edilmektedir, bu da muadil ürünlerde büyük bir dalgalanmaya yol açacaktır. Yeni mevcut piyasa</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5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7880350" cy="9446895"/>
            <wp:effectExtent l="0" t="0" r="0" b="0"/>
            <wp:wrapNone/>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80304" name="Picture 183"/>
                    <pic:cNvPicPr>
                      <a:picLocks noChangeAspect="1" noChangeArrowheads="1"/>
                    </pic:cNvPicPr>
                  </pic:nvPicPr>
                  <pic:blipFill>
                    <a:blip xmlns:r="http://schemas.openxmlformats.org/officeDocument/2006/relationships" r:embed="rId4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 Hintli firmalara büyük bir fırsat sağlayabilecek olan muadil ilaçlar tarafından doldurulacaktır. Muadil ilaç pazarı 2011 yılında </w:t>
      </w:r>
      <w:r w:rsidR="006B0D54">
        <w:rPr>
          <w:rFonts w:ascii="Arial" w:eastAsia="Arial" w:hAnsi="Arial" w:cs="Arial"/>
          <w:color w:val="1F1A17"/>
          <w:sz w:val="20"/>
          <w:szCs w:val="20"/>
        </w:rPr>
        <w:t>11,3</w:t>
      </w:r>
      <w:r>
        <w:rPr>
          <w:rFonts w:ascii="Arial" w:eastAsia="Arial" w:hAnsi="Arial" w:cs="Arial"/>
          <w:color w:val="1F1A17"/>
          <w:sz w:val="20"/>
          <w:szCs w:val="20"/>
        </w:rPr>
        <w:t xml:space="preserve"> milyar USD'den 2016 yılına </w:t>
      </w:r>
      <w:r w:rsidR="006B0D54">
        <w:rPr>
          <w:rFonts w:ascii="Arial" w:eastAsia="Arial" w:hAnsi="Arial" w:cs="Arial"/>
          <w:color w:val="1F1A17"/>
          <w:sz w:val="20"/>
          <w:szCs w:val="20"/>
        </w:rPr>
        <w:t>26,1</w:t>
      </w:r>
      <w:r>
        <w:rPr>
          <w:rFonts w:ascii="Arial" w:eastAsia="Arial" w:hAnsi="Arial" w:cs="Arial"/>
          <w:color w:val="1F1A17"/>
          <w:sz w:val="20"/>
          <w:szCs w:val="20"/>
        </w:rPr>
        <w:t xml:space="preserve"> m</w:t>
      </w:r>
      <w:r w:rsidR="00094157">
        <w:rPr>
          <w:rFonts w:ascii="Arial" w:eastAsia="Arial" w:hAnsi="Arial" w:cs="Arial"/>
          <w:color w:val="1F1A17"/>
          <w:sz w:val="20"/>
          <w:szCs w:val="20"/>
        </w:rPr>
        <w:t>ilyar USD'ye ulaşması beklenmektedir</w:t>
      </w:r>
      <w:r>
        <w:rPr>
          <w:rFonts w:ascii="Arial" w:eastAsia="Arial" w:hAnsi="Arial" w:cs="Arial"/>
          <w:color w:val="1F1A17"/>
          <w:sz w:val="20"/>
          <w:szCs w:val="20"/>
        </w:rPr>
        <w:t>.</w:t>
      </w:r>
    </w:p>
    <w:p w:rsidR="00493D0A" w:rsidRPr="0087022D" w:rsidP="00493D0A">
      <w:pPr>
        <w:widowControl w:val="0"/>
        <w:autoSpaceDE w:val="0"/>
        <w:autoSpaceDN w:val="0"/>
        <w:adjustRightInd w:val="0"/>
        <w:spacing w:after="0" w:line="18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 xml:space="preserve">Yıllara Göre Türkiye'de Kişi Başına Düşen İlaç Tüketimi </w:t>
      </w:r>
    </w:p>
    <w:p w:rsidR="00493D0A" w:rsidRPr="0087022D" w:rsidP="00493D0A">
      <w:pPr>
        <w:widowControl w:val="0"/>
        <w:autoSpaceDE w:val="0"/>
        <w:autoSpaceDN w:val="0"/>
        <w:adjustRightInd w:val="0"/>
        <w:spacing w:after="0" w:line="75"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1940"/>
        <w:gridCol w:w="5980"/>
      </w:tblGrid>
      <w:tr w:rsidTr="00036A52">
        <w:tblPrEx>
          <w:tblW w:w="0" w:type="auto"/>
          <w:tblLayout w:type="fixed"/>
          <w:tblCellMar>
            <w:left w:w="0" w:type="dxa"/>
            <w:right w:w="0" w:type="dxa"/>
          </w:tblCellMar>
          <w:tblLook w:val="0000"/>
        </w:tblPrEx>
        <w:trPr>
          <w:trHeight w:val="211"/>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18"/>
                <w:szCs w:val="18"/>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400"/>
              <w:rPr>
                <w:rFonts w:ascii="Times New Roman" w:hAnsi="Times New Roman"/>
                <w:sz w:val="24"/>
                <w:szCs w:val="24"/>
                <w:lang w:val="en-US"/>
              </w:rPr>
            </w:pPr>
            <w:r>
              <w:rPr>
                <w:rFonts w:ascii="Arial" w:eastAsia="Arial" w:hAnsi="Arial" w:cs="Arial"/>
                <w:b/>
                <w:bCs/>
                <w:color w:val="1F1A17"/>
                <w:sz w:val="18"/>
                <w:szCs w:val="18"/>
              </w:rPr>
              <w:t>(USD olarak)</w:t>
            </w:r>
          </w:p>
        </w:tc>
      </w:tr>
      <w:tr w:rsidTr="00036A52">
        <w:tblPrEx>
          <w:tblW w:w="0" w:type="auto"/>
          <w:tblLayout w:type="fixed"/>
          <w:tblCellMar>
            <w:left w:w="0" w:type="dxa"/>
            <w:right w:w="0" w:type="dxa"/>
          </w:tblCellMar>
          <w:tblLook w:val="0000"/>
        </w:tblPrEx>
        <w:trPr>
          <w:trHeight w:val="72"/>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6"/>
        </w:trPr>
        <w:tc>
          <w:tcPr>
            <w:tcW w:w="19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 xml:space="preserve">Yıl </w:t>
            </w:r>
          </w:p>
        </w:tc>
        <w:tc>
          <w:tcPr>
            <w:tcW w:w="598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3500"/>
              <w:rPr>
                <w:rFonts w:ascii="Times New Roman" w:hAnsi="Times New Roman"/>
                <w:sz w:val="24"/>
                <w:szCs w:val="24"/>
                <w:lang w:val="en-US"/>
              </w:rPr>
            </w:pPr>
            <w:r>
              <w:rPr>
                <w:rFonts w:ascii="Arial" w:eastAsia="Arial" w:hAnsi="Arial" w:cs="Arial"/>
                <w:b/>
                <w:bCs/>
                <w:color w:val="FFFFFF"/>
                <w:sz w:val="20"/>
                <w:szCs w:val="20"/>
              </w:rPr>
              <w:t>Kişi Başına Tüketim</w:t>
            </w:r>
          </w:p>
        </w:tc>
      </w:tr>
      <w:tr w:rsidTr="00036A52">
        <w:tblPrEx>
          <w:tblW w:w="0" w:type="auto"/>
          <w:tblLayout w:type="fixed"/>
          <w:tblCellMar>
            <w:left w:w="0" w:type="dxa"/>
            <w:right w:w="0" w:type="dxa"/>
          </w:tblCellMar>
          <w:tblLook w:val="0000"/>
        </w:tblPrEx>
        <w:trPr>
          <w:trHeight w:val="79"/>
        </w:trPr>
        <w:tc>
          <w:tcPr>
            <w:tcW w:w="19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5"/>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1990</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17</w:t>
            </w:r>
          </w:p>
        </w:tc>
      </w:tr>
      <w:tr w:rsidTr="00036A52">
        <w:tblPrEx>
          <w:tblW w:w="0" w:type="auto"/>
          <w:tblLayout w:type="fixed"/>
          <w:tblCellMar>
            <w:left w:w="0" w:type="dxa"/>
            <w:right w:w="0" w:type="dxa"/>
          </w:tblCellMar>
          <w:tblLook w:val="0000"/>
        </w:tblPrEx>
        <w:trPr>
          <w:trHeight w:val="81"/>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7"/>
                <w:szCs w:val="7"/>
                <w:lang w:val="en-US"/>
              </w:rPr>
            </w:pPr>
          </w:p>
        </w:tc>
      </w:tr>
      <w:tr w:rsidTr="00036A52">
        <w:tblPrEx>
          <w:tblW w:w="0" w:type="auto"/>
          <w:tblLayout w:type="fixed"/>
          <w:tblCellMar>
            <w:left w:w="0" w:type="dxa"/>
            <w:right w:w="0" w:type="dxa"/>
          </w:tblCellMar>
          <w:tblLook w:val="0000"/>
        </w:tblPrEx>
        <w:trPr>
          <w:trHeight w:val="277"/>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1995</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25</w:t>
            </w:r>
          </w:p>
        </w:tc>
      </w:tr>
      <w:tr w:rsidTr="00036A52">
        <w:tblPrEx>
          <w:tblW w:w="0" w:type="auto"/>
          <w:tblLayout w:type="fixed"/>
          <w:tblCellMar>
            <w:left w:w="0" w:type="dxa"/>
            <w:right w:w="0" w:type="dxa"/>
          </w:tblCellMar>
          <w:tblLook w:val="0000"/>
        </w:tblPrEx>
        <w:trPr>
          <w:trHeight w:val="79"/>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79"/>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1996</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26</w:t>
            </w:r>
          </w:p>
        </w:tc>
      </w:tr>
      <w:tr w:rsidTr="00036A52">
        <w:tblPrEx>
          <w:tblW w:w="0" w:type="auto"/>
          <w:tblLayout w:type="fixed"/>
          <w:tblCellMar>
            <w:left w:w="0" w:type="dxa"/>
            <w:right w:w="0" w:type="dxa"/>
          </w:tblCellMar>
          <w:tblLook w:val="0000"/>
        </w:tblPrEx>
        <w:trPr>
          <w:trHeight w:val="76"/>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82"/>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1997</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32</w:t>
            </w:r>
          </w:p>
        </w:tc>
      </w:tr>
      <w:tr w:rsidTr="00036A52">
        <w:tblPrEx>
          <w:tblW w:w="0" w:type="auto"/>
          <w:tblLayout w:type="fixed"/>
          <w:tblCellMar>
            <w:left w:w="0" w:type="dxa"/>
            <w:right w:w="0" w:type="dxa"/>
          </w:tblCellMar>
          <w:tblLook w:val="0000"/>
        </w:tblPrEx>
        <w:trPr>
          <w:trHeight w:val="74"/>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84"/>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1998</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35</w:t>
            </w:r>
          </w:p>
        </w:tc>
      </w:tr>
      <w:tr w:rsidTr="00036A52">
        <w:tblPrEx>
          <w:tblW w:w="0" w:type="auto"/>
          <w:tblLayout w:type="fixed"/>
          <w:tblCellMar>
            <w:left w:w="0" w:type="dxa"/>
            <w:right w:w="0" w:type="dxa"/>
          </w:tblCellMar>
          <w:tblLook w:val="0000"/>
        </w:tblPrEx>
        <w:trPr>
          <w:trHeight w:val="71"/>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87"/>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1999</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38</w:t>
            </w:r>
          </w:p>
        </w:tc>
      </w:tr>
      <w:tr w:rsidTr="00036A52">
        <w:tblPrEx>
          <w:tblW w:w="0" w:type="auto"/>
          <w:tblLayout w:type="fixed"/>
          <w:tblCellMar>
            <w:left w:w="0" w:type="dxa"/>
            <w:right w:w="0" w:type="dxa"/>
          </w:tblCellMar>
          <w:tblLook w:val="0000"/>
        </w:tblPrEx>
        <w:trPr>
          <w:trHeight w:val="69"/>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6"/>
                <w:szCs w:val="6"/>
                <w:lang w:val="en-US"/>
              </w:rPr>
            </w:pPr>
          </w:p>
        </w:tc>
      </w:tr>
      <w:tr w:rsidTr="00036A52">
        <w:tblPrEx>
          <w:tblW w:w="0" w:type="auto"/>
          <w:tblLayout w:type="fixed"/>
          <w:tblCellMar>
            <w:left w:w="0" w:type="dxa"/>
            <w:right w:w="0" w:type="dxa"/>
          </w:tblCellMar>
          <w:tblLook w:val="0000"/>
        </w:tblPrEx>
        <w:trPr>
          <w:trHeight w:val="289"/>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2000</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42</w:t>
            </w:r>
          </w:p>
        </w:tc>
      </w:tr>
      <w:tr w:rsidTr="00036A52">
        <w:tblPrEx>
          <w:tblW w:w="0" w:type="auto"/>
          <w:tblLayout w:type="fixed"/>
          <w:tblCellMar>
            <w:left w:w="0" w:type="dxa"/>
            <w:right w:w="0" w:type="dxa"/>
          </w:tblCellMar>
          <w:tblLook w:val="0000"/>
        </w:tblPrEx>
        <w:trPr>
          <w:trHeight w:val="67"/>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91"/>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2001</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38</w:t>
            </w:r>
          </w:p>
        </w:tc>
      </w:tr>
      <w:tr w:rsidTr="00036A52">
        <w:tblPrEx>
          <w:tblW w:w="0" w:type="auto"/>
          <w:tblLayout w:type="fixed"/>
          <w:tblCellMar>
            <w:left w:w="0" w:type="dxa"/>
            <w:right w:w="0" w:type="dxa"/>
          </w:tblCellMar>
          <w:tblLook w:val="0000"/>
        </w:tblPrEx>
        <w:trPr>
          <w:trHeight w:val="64"/>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94"/>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2002</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sz w:val="18"/>
                <w:szCs w:val="18"/>
                <w:lang w:val="en-US"/>
              </w:rPr>
              <w:t>68.6</w:t>
            </w:r>
          </w:p>
        </w:tc>
      </w:tr>
      <w:tr w:rsidTr="00036A52">
        <w:tblPrEx>
          <w:tblW w:w="0" w:type="auto"/>
          <w:tblLayout w:type="fixed"/>
          <w:tblCellMar>
            <w:left w:w="0" w:type="dxa"/>
            <w:right w:w="0" w:type="dxa"/>
          </w:tblCellMar>
          <w:tblLook w:val="0000"/>
        </w:tblPrEx>
        <w:trPr>
          <w:trHeight w:val="62"/>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96"/>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2003</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9"/>
                <w:sz w:val="18"/>
                <w:szCs w:val="18"/>
                <w:lang w:val="en-US"/>
              </w:rPr>
              <w:t>85</w:t>
            </w:r>
          </w:p>
        </w:tc>
      </w:tr>
      <w:tr w:rsidTr="00036A52">
        <w:tblPrEx>
          <w:tblW w:w="0" w:type="auto"/>
          <w:tblLayout w:type="fixed"/>
          <w:tblCellMar>
            <w:left w:w="0" w:type="dxa"/>
            <w:right w:w="0" w:type="dxa"/>
          </w:tblCellMar>
          <w:tblLook w:val="0000"/>
        </w:tblPrEx>
        <w:trPr>
          <w:trHeight w:val="60"/>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336"/>
        </w:trPr>
        <w:tc>
          <w:tcPr>
            <w:tcW w:w="194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2006</w:t>
            </w:r>
          </w:p>
        </w:tc>
        <w:tc>
          <w:tcPr>
            <w:tcW w:w="598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3229"/>
              <w:jc w:val="center"/>
              <w:rPr>
                <w:rFonts w:ascii="Times New Roman" w:hAnsi="Times New Roman"/>
                <w:sz w:val="24"/>
                <w:szCs w:val="24"/>
                <w:lang w:val="en-US"/>
              </w:rPr>
            </w:pPr>
            <w:r>
              <w:rPr>
                <w:rFonts w:ascii="Arial" w:eastAsia="Arial" w:hAnsi="Arial" w:cs="Arial"/>
                <w:color w:val="1F1A17"/>
                <w:sz w:val="18"/>
                <w:szCs w:val="18"/>
              </w:rPr>
              <w:t>81.4*</w:t>
            </w:r>
          </w:p>
        </w:tc>
      </w:tr>
      <w:tr w:rsidTr="00036A52">
        <w:tblPrEx>
          <w:tblW w:w="0" w:type="auto"/>
          <w:tblLayout w:type="fixed"/>
          <w:tblCellMar>
            <w:left w:w="0" w:type="dxa"/>
            <w:right w:w="0" w:type="dxa"/>
          </w:tblCellMar>
          <w:tblLook w:val="0000"/>
        </w:tblPrEx>
        <w:trPr>
          <w:trHeight w:val="301"/>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2007</w:t>
            </w: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3"/>
                <w:sz w:val="18"/>
                <w:szCs w:val="18"/>
                <w:lang w:val="en-US"/>
              </w:rPr>
              <w:t>136</w:t>
            </w:r>
          </w:p>
        </w:tc>
      </w:tr>
      <w:tr w:rsidTr="00036A52">
        <w:tblPrEx>
          <w:tblW w:w="0" w:type="auto"/>
          <w:tblLayout w:type="fixed"/>
          <w:tblCellMar>
            <w:left w:w="0" w:type="dxa"/>
            <w:right w:w="0" w:type="dxa"/>
          </w:tblCellMar>
          <w:tblLook w:val="0000"/>
        </w:tblPrEx>
        <w:trPr>
          <w:trHeight w:val="55"/>
        </w:trPr>
        <w:tc>
          <w:tcPr>
            <w:tcW w:w="19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59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r w:rsidTr="00036A52">
        <w:tblPrEx>
          <w:tblW w:w="0" w:type="auto"/>
          <w:tblLayout w:type="fixed"/>
          <w:tblCellMar>
            <w:left w:w="0" w:type="dxa"/>
            <w:right w:w="0" w:type="dxa"/>
          </w:tblCellMar>
          <w:tblLook w:val="0000"/>
        </w:tblPrEx>
        <w:trPr>
          <w:trHeight w:val="303"/>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2009</w:t>
            </w: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3249"/>
              <w:jc w:val="center"/>
              <w:rPr>
                <w:rFonts w:ascii="Times New Roman" w:hAnsi="Times New Roman"/>
                <w:sz w:val="24"/>
                <w:szCs w:val="24"/>
                <w:lang w:val="en-US"/>
              </w:rPr>
            </w:pPr>
            <w:r w:rsidRPr="0087022D">
              <w:rPr>
                <w:rFonts w:ascii="Arial" w:hAnsi="Arial" w:cs="Arial"/>
                <w:color w:val="1F1A17"/>
                <w:w w:val="93"/>
                <w:sz w:val="18"/>
                <w:szCs w:val="18"/>
                <w:lang w:val="en-US"/>
              </w:rPr>
              <w:t>132</w:t>
            </w:r>
          </w:p>
        </w:tc>
      </w:tr>
      <w:tr w:rsidTr="00036A52">
        <w:tblPrEx>
          <w:tblW w:w="0" w:type="auto"/>
          <w:tblLayout w:type="fixed"/>
          <w:tblCellMar>
            <w:left w:w="0" w:type="dxa"/>
            <w:right w:w="0" w:type="dxa"/>
          </w:tblCellMar>
          <w:tblLook w:val="0000"/>
        </w:tblPrEx>
        <w:trPr>
          <w:trHeight w:val="53"/>
        </w:trPr>
        <w:tc>
          <w:tcPr>
            <w:tcW w:w="19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59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bl>
    <w:p w:rsidR="00493D0A" w:rsidRPr="0087022D" w:rsidP="00493D0A">
      <w:pPr>
        <w:widowControl w:val="0"/>
        <w:autoSpaceDE w:val="0"/>
        <w:autoSpaceDN w:val="0"/>
        <w:adjustRightInd w:val="0"/>
        <w:spacing w:after="0" w:line="104"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Euro olarak</w:t>
      </w:r>
    </w:p>
    <w:p w:rsidR="00493D0A" w:rsidRPr="0087022D" w:rsidP="00493D0A">
      <w:pPr>
        <w:widowControl w:val="0"/>
        <w:autoSpaceDE w:val="0"/>
        <w:autoSpaceDN w:val="0"/>
        <w:adjustRightInd w:val="0"/>
        <w:spacing w:after="0" w:line="5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i/>
          <w:iCs/>
          <w:color w:val="1F1A17"/>
          <w:sz w:val="17"/>
          <w:szCs w:val="17"/>
        </w:rPr>
        <w:t xml:space="preserve"> Kaynak:  İlaç Endüstrisi İşverenler Sendikası, İstanbul Sanayi Odası </w:t>
      </w:r>
    </w:p>
    <w:p w:rsidR="00493D0A" w:rsidRPr="0087022D" w:rsidP="00493D0A">
      <w:pPr>
        <w:widowControl w:val="0"/>
        <w:autoSpaceDE w:val="0"/>
        <w:autoSpaceDN w:val="0"/>
        <w:adjustRightInd w:val="0"/>
        <w:spacing w:after="0" w:line="23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2011 yılında, Hindistan'ın reçeteye tabi olmayan ilaç piyasası 3 milyar USD değerindeydi; 2008-16 döneminde yıllık %</w:t>
      </w:r>
      <w:r w:rsidR="006B0D54">
        <w:rPr>
          <w:rFonts w:ascii="Arial" w:eastAsia="Arial" w:hAnsi="Arial" w:cs="Arial"/>
          <w:color w:val="1F1A17"/>
          <w:sz w:val="20"/>
          <w:szCs w:val="20"/>
        </w:rPr>
        <w:t>16,3’lük</w:t>
      </w:r>
      <w:r>
        <w:rPr>
          <w:rFonts w:ascii="Arial" w:eastAsia="Arial" w:hAnsi="Arial" w:cs="Arial"/>
          <w:color w:val="1F1A17"/>
          <w:sz w:val="20"/>
          <w:szCs w:val="20"/>
        </w:rPr>
        <w:t xml:space="preserve"> bir bileşik büyüme oranı </w:t>
      </w:r>
      <w:r w:rsidR="006B0D54">
        <w:rPr>
          <w:rFonts w:ascii="Arial" w:eastAsia="Arial" w:hAnsi="Arial" w:cs="Arial"/>
          <w:color w:val="1F1A17"/>
          <w:sz w:val="20"/>
          <w:szCs w:val="20"/>
        </w:rPr>
        <w:t>artışıyla 6,6</w:t>
      </w:r>
      <w:r>
        <w:rPr>
          <w:rFonts w:ascii="Arial" w:eastAsia="Arial" w:hAnsi="Arial" w:cs="Arial"/>
          <w:color w:val="1F1A17"/>
          <w:sz w:val="20"/>
          <w:szCs w:val="20"/>
        </w:rPr>
        <w:t xml:space="preserve"> m</w:t>
      </w:r>
      <w:r w:rsidR="00094157">
        <w:rPr>
          <w:rFonts w:ascii="Arial" w:eastAsia="Arial" w:hAnsi="Arial" w:cs="Arial"/>
          <w:color w:val="1F1A17"/>
          <w:sz w:val="20"/>
          <w:szCs w:val="20"/>
        </w:rPr>
        <w:t>ilyar USD'ye ulaşması beklenmektedir</w:t>
      </w:r>
      <w:r>
        <w:rPr>
          <w:rFonts w:ascii="Arial" w:eastAsia="Arial" w:hAnsi="Arial" w:cs="Arial"/>
          <w:color w:val="1F1A17"/>
          <w:sz w:val="20"/>
          <w:szCs w:val="20"/>
        </w:rPr>
        <w:t xml:space="preserve">. Özellikle Hindistan'ın kırsal bölgelerinde </w:t>
      </w:r>
      <w:r w:rsidR="006B0D54">
        <w:rPr>
          <w:rFonts w:ascii="Arial" w:eastAsia="Arial" w:hAnsi="Arial" w:cs="Arial"/>
          <w:color w:val="1F1A17"/>
          <w:sz w:val="20"/>
          <w:szCs w:val="20"/>
        </w:rPr>
        <w:t>kimyagerlerin</w:t>
      </w:r>
      <w:r>
        <w:rPr>
          <w:rFonts w:ascii="Arial" w:eastAsia="Arial" w:hAnsi="Arial" w:cs="Arial"/>
          <w:color w:val="1F1A17"/>
          <w:sz w:val="20"/>
          <w:szCs w:val="20"/>
        </w:rPr>
        <w:t xml:space="preserve"> artan nüfuzu, reçetesiz ilaçları kolayca kullanılabilir hale getirecektir. İlaç firmaları, kırsal piyasaları kullanmak ve daha iyi tıbbi altyapının geliştirilmesi için harcamaları artırmıştır.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Teknolojik olarak güçlü ve tamamen kendine güvenen, Hindistan'daki ilaç sanayi üretimi düşük maliyetlere, düşük Ar-Ge maliyetlerine, yenilikçi bilimsel insan gücüne, ulusal laboratuvarların gücüne ve ticari dengeye sahiptir. Hindistan ilaç endüstrisi günümüzde teknoloji, kalite ve imal ilaçların çeşitliliği açısından, dünya standartlarındadır. Basit </w:t>
      </w:r>
      <w:r w:rsidR="006B0D54">
        <w:rPr>
          <w:rFonts w:ascii="Arial" w:eastAsia="Arial" w:hAnsi="Arial" w:cs="Arial"/>
          <w:color w:val="1F1A17"/>
          <w:sz w:val="20"/>
          <w:szCs w:val="20"/>
        </w:rPr>
        <w:t>baş ağrısı haplarından karmaşık</w:t>
      </w:r>
      <w:r>
        <w:rPr>
          <w:rFonts w:ascii="Arial" w:eastAsia="Arial" w:hAnsi="Arial" w:cs="Arial"/>
          <w:color w:val="1F1A17"/>
          <w:sz w:val="20"/>
          <w:szCs w:val="20"/>
        </w:rPr>
        <w:t xml:space="preserve"> antibiyotik</w:t>
      </w:r>
      <w:r w:rsidR="006B0D54">
        <w:rPr>
          <w:rFonts w:ascii="Arial" w:eastAsia="Arial" w:hAnsi="Arial" w:cs="Arial"/>
          <w:color w:val="1F1A17"/>
          <w:sz w:val="20"/>
          <w:szCs w:val="20"/>
        </w:rPr>
        <w:t>lere</w:t>
      </w:r>
      <w:r>
        <w:rPr>
          <w:rFonts w:ascii="Arial" w:eastAsia="Arial" w:hAnsi="Arial" w:cs="Arial"/>
          <w:color w:val="1F1A17"/>
          <w:sz w:val="20"/>
          <w:szCs w:val="20"/>
        </w:rPr>
        <w:t xml:space="preserve"> kadar, hemen hemen her tür ilaç artık yerli olarak üretilmektedir.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Bugün sanayi, ilaç formülasyonlarının tüm yelpazesini, diğer bir deyişle hastaların tüketimine hazır ilaçları ve yaklaşık 350 yığın ilacı, diğer bir deyişle ilaç terapötik bir değere sahip olan ve formülasyonlarının üretimi için </w:t>
      </w:r>
      <w:r w:rsidR="006B0D54">
        <w:rPr>
          <w:rFonts w:ascii="Arial" w:eastAsia="Arial" w:hAnsi="Arial" w:cs="Arial"/>
          <w:color w:val="1F1A17"/>
          <w:sz w:val="20"/>
          <w:szCs w:val="20"/>
        </w:rPr>
        <w:t>kullanılan kimyasalları</w:t>
      </w:r>
      <w:r>
        <w:rPr>
          <w:rFonts w:ascii="Arial" w:eastAsia="Arial" w:hAnsi="Arial" w:cs="Arial"/>
          <w:color w:val="1F1A17"/>
          <w:sz w:val="20"/>
          <w:szCs w:val="20"/>
        </w:rPr>
        <w:t xml:space="preserve"> üretmekle övünebilir.</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62"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701248" behindDoc="1" locked="0" layoutInCell="0" allowOverlap="1">
            <wp:simplePos x="0" y="0"/>
            <wp:positionH relativeFrom="page">
              <wp:posOffset>0</wp:posOffset>
            </wp:positionH>
            <wp:positionV relativeFrom="page">
              <wp:posOffset>377190</wp:posOffset>
            </wp:positionV>
            <wp:extent cx="7880350" cy="9897110"/>
            <wp:effectExtent l="0" t="0" r="0" b="0"/>
            <wp:wrapNone/>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89931" name="Picture 184"/>
                    <pic:cNvPicPr>
                      <a:picLocks noChangeAspect="1" noChangeArrowheads="1"/>
                    </pic:cNvPicPr>
                  </pic:nvPicPr>
                  <pic:blipFill>
                    <a:blip xmlns:r="http://schemas.openxmlformats.org/officeDocument/2006/relationships" r:embed="rId6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ind w:firstLine="1"/>
        <w:jc w:val="both"/>
        <w:rPr>
          <w:rFonts w:ascii="Times New Roman" w:hAnsi="Times New Roman"/>
          <w:sz w:val="24"/>
          <w:szCs w:val="24"/>
          <w:lang w:val="en-US"/>
        </w:rPr>
      </w:pPr>
      <w:r>
        <w:rPr>
          <w:rFonts w:ascii="Arial" w:eastAsia="Arial" w:hAnsi="Arial" w:cs="Arial"/>
          <w:color w:val="1F1A17"/>
          <w:sz w:val="20"/>
          <w:szCs w:val="20"/>
        </w:rPr>
        <w:t xml:space="preserve"> Hindistan'da ilaç endüstrisinin, sektör tahminleri başına yaklaşık 12.26 milyar USD değerinde olması beklenmektedir. Bu endüstri bileşik büyüme oranı bazında yılda %10-11 büyümektedir. İlaç endüstrisinin toplam cirosu 21.04 milyar USD olmasına rağmen, bu gelirin yaklaşık %65'i ihracatlardan gelmektedir. Bu gelirin yaklaşık %18'ini araştırma ve geliştirme (Ar-Ge) faaliyetlerine harcamaktadır. Ayrıca, Hindistan'ın klinik araştırma sektörünün %23 gibi yüksek bir büyüme oranı ile </w:t>
      </w:r>
      <w:r w:rsidR="006B0D54">
        <w:rPr>
          <w:rFonts w:ascii="Arial" w:eastAsia="Arial" w:hAnsi="Arial" w:cs="Arial"/>
          <w:color w:val="1F1A17"/>
          <w:sz w:val="20"/>
          <w:szCs w:val="20"/>
        </w:rPr>
        <w:t>2,2</w:t>
      </w:r>
      <w:r>
        <w:rPr>
          <w:rFonts w:ascii="Arial" w:eastAsia="Arial" w:hAnsi="Arial" w:cs="Arial"/>
          <w:color w:val="1F1A17"/>
          <w:sz w:val="20"/>
          <w:szCs w:val="20"/>
        </w:rPr>
        <w:t xml:space="preserve"> milyar USD değerinde olduğu tahmin edilmektedir. Ayrıca, Hint kıyı-ötesi ilaç endüstrisinin, düşük Ar-Ge maliyetleri ve yetenekli insan bolluğu nedeniyle, 2012'ye kadar </w:t>
      </w:r>
      <w:r w:rsidR="006B0D54">
        <w:rPr>
          <w:rFonts w:ascii="Arial" w:eastAsia="Arial" w:hAnsi="Arial" w:cs="Arial"/>
          <w:color w:val="1F1A17"/>
          <w:sz w:val="20"/>
          <w:szCs w:val="20"/>
        </w:rPr>
        <w:t>2,5</w:t>
      </w:r>
      <w:r>
        <w:rPr>
          <w:rFonts w:ascii="Arial" w:eastAsia="Arial" w:hAnsi="Arial" w:cs="Arial"/>
          <w:color w:val="1F1A17"/>
          <w:sz w:val="20"/>
          <w:szCs w:val="20"/>
        </w:rPr>
        <w:t xml:space="preserve"> milyar USD değerine gelmesi planlanıyor.</w:t>
      </w:r>
    </w:p>
    <w:p w:rsidR="00493D0A" w:rsidRPr="0087022D" w:rsidP="00493D0A">
      <w:pPr>
        <w:widowControl w:val="0"/>
        <w:autoSpaceDE w:val="0"/>
        <w:autoSpaceDN w:val="0"/>
        <w:adjustRightInd w:val="0"/>
        <w:spacing w:after="0" w:line="222"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 2005 yılından bu yana ürün patent sisteminin getirilmesi sayesinde, Hint endüstrisi bugün yüksek kaliteli muadil ilaçların dünya çapında bir ihracatçısı haline gelmiştir. Hindistan ABD, Almanya, Fransa, Rusya ve İngiltere de </w:t>
      </w:r>
      <w:r w:rsidR="006B0D54">
        <w:rPr>
          <w:rFonts w:ascii="Arial" w:eastAsia="Arial" w:hAnsi="Arial" w:cs="Arial"/>
          <w:color w:val="1F1A17"/>
          <w:sz w:val="20"/>
          <w:szCs w:val="20"/>
        </w:rPr>
        <w:t>dâhil</w:t>
      </w:r>
      <w:r>
        <w:rPr>
          <w:rFonts w:ascii="Arial" w:eastAsia="Arial" w:hAnsi="Arial" w:cs="Arial"/>
          <w:color w:val="1F1A17"/>
          <w:sz w:val="20"/>
          <w:szCs w:val="20"/>
        </w:rPr>
        <w:t xml:space="preserve"> olmak üzere dünya çapında birçok ülkeye ilaç ihraç etmektedir.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 Hindistan Hükümeti Hint ilaç sektöründe büyümeyi ve yatırımı artırmada oldukça proaktiftir. Bu durum, ilaç ve ilaç ürünleri sektöründe otomatik rota altında yüzde 100 DYY'ye (doğrudan dış yatırım) izin verir.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DIPP verilerine göre ilaçlar ve eczacılık ürünleri sektörü Nisan 2000-Mart 2011 döneminde 1,882.76 milyon USD değerinde etkileyici bir seviyede DYY'nin (doğrudan yabancı yatırım) ilgisini çekmiştir. İlaç ve ilaç ürünlerinin çoğu için endüstriyel lisanslar Hindistan'da gerekli değildir. Üreticiler İlaç Kontrol Kurumu tarafından gerektiği gibi onaylanan herhangi bir ilacı üretebilir.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 Bu patent rejimi Hindistan'da birçok çokuluslu ilaç şirketinin yatırım yapmasına yol açmıştır. Artık sadece fason üretimdeki geleneksel gücü için değil, aynı zamanda araştırma ve geliştirme (Ar-Ge) için de son derece cazip bir yer olarak Hindistan bakıyorlar, özellikle klinik çalışmalarda ve diğer hizmetlerin yürütülmesinde. KPMG raporuna göre, Hintli ve yabancı şirketler Hindistan'da patentli ilaç lansmanları ile devam etmektedir ve 2005 ve 2010 yılları arasında, Hint Patent Ofisi, 3488 ürün patenti vermiştir.</w:t>
      </w:r>
    </w:p>
    <w:p w:rsidR="00493D0A" w:rsidRPr="0087022D" w:rsidP="00493D0A">
      <w:pPr>
        <w:widowControl w:val="0"/>
        <w:autoSpaceDE w:val="0"/>
        <w:autoSpaceDN w:val="0"/>
        <w:adjustRightInd w:val="0"/>
        <w:spacing w:after="0" w:line="224"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 xml:space="preserve"> Hint İlaç sektörü 2020 tarihli McKinsey ilaç raporunun tahminlerine göre, 2020 yılına kadar 55 milyar USD büyüyerek küresel çapta mutlak boyutu 6. en büyük piyasa haline gelmesi planlanmaktadır. Hindistan'da zaten mevcut çokuluslu ilaç şirketleri başka satın almalar yoluyla varlığını konsolide ederken, birçok çok uluslu şirket 2005 sonrası yeniden giriş düzenlemiştir. Yerli ilaç piyasasında çokuluslu ilaç şirketlerinin payının 2015 yılına kadar %35 artacağı tahmin edilmektedir.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9" w:lineRule="auto"/>
        <w:jc w:val="both"/>
        <w:rPr>
          <w:rFonts w:ascii="Times New Roman" w:hAnsi="Times New Roman"/>
          <w:sz w:val="24"/>
          <w:szCs w:val="24"/>
          <w:lang w:val="en-US"/>
        </w:rPr>
      </w:pPr>
      <w:r>
        <w:rPr>
          <w:rFonts w:ascii="Arial" w:eastAsia="Arial" w:hAnsi="Arial" w:cs="Arial"/>
          <w:color w:val="1F1A17"/>
          <w:sz w:val="20"/>
          <w:szCs w:val="20"/>
        </w:rPr>
        <w:t xml:space="preserve">Hindistan maliyet verimliliğinde diğer ülkelere göre daha üst sıralardadır. Bu görünür biçimde, maliyetlerin ABD'den %65 daha düşük ve Avrupa'dan %50 daha düşük olduğu Hindistan'da ABD FDA onaylı bitkilerin üretim maliyetlerine yansımıştır.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97"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Ticareti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7880350" cy="9446895"/>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5524" name="Picture 185"/>
                    <pic:cNvPicPr>
                      <a:picLocks noChangeAspect="1" noChangeArrowheads="1"/>
                    </pic:cNvPicPr>
                  </pic:nvPicPr>
                  <pic:blipFill>
                    <a:blip xmlns:r="http://schemas.openxmlformats.org/officeDocument/2006/relationships" r:embed="rId6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İleriye bakınca, büyüme için muazzam büyüklükte yer bulunmaktadır. Hindistan'da kişi başına ilaç tüketimi, 3 USD'dır ve bu, Japonya'yla- 412 USD, Almanya'yla- 222 USD ve ABD'yle- 191 USD karşılaştırıldığında dünyada en düşük rakamdır.  Görünüşe göre, bu büyük boşluk altında yatan fırsatları göstermektedir.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jc w:val="both"/>
        <w:rPr>
          <w:rFonts w:ascii="Times New Roman" w:hAnsi="Times New Roman"/>
          <w:sz w:val="24"/>
          <w:szCs w:val="24"/>
          <w:lang w:val="en-US"/>
        </w:rPr>
      </w:pPr>
      <w:r>
        <w:rPr>
          <w:rFonts w:ascii="Arial" w:eastAsia="Arial" w:hAnsi="Arial" w:cs="Arial"/>
          <w:color w:val="1F1A17"/>
          <w:sz w:val="20"/>
          <w:szCs w:val="20"/>
        </w:rPr>
        <w:t>Ar-Ge ve üretim alanlarında dışa açılma ilaç endüstrisindeki bir sonraki en iyi olaydır. Hızla artan maliyet, süresi geçen patentler, düşük Ar-Ge maliyeti ve piyasa dinamikleri  çokuluslu şirketleri hem üretim hem de araştırma faaliyetlerini dışardan temin etmeye itmektedir. Hem araştırma hem de üretimde kalifiye insan gücü ile birlikte kimya becerileri ve düşük maliyet avantajlarıyla Hindistan, gelecek günlerde iş dünyasını fazlasıyla çekecektir.</w:t>
      </w:r>
    </w:p>
    <w:p w:rsidR="00493D0A" w:rsidRPr="0087022D" w:rsidP="00493D0A">
      <w:pPr>
        <w:widowControl w:val="0"/>
        <w:autoSpaceDE w:val="0"/>
        <w:autoSpaceDN w:val="0"/>
        <w:adjustRightInd w:val="0"/>
        <w:spacing w:after="0" w:line="392"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Hindistan'daki Yabancı yatırımcılar</w:t>
      </w:r>
    </w:p>
    <w:p w:rsidR="00493D0A" w:rsidRPr="0087022D" w:rsidP="00493D0A">
      <w:pPr>
        <w:widowControl w:val="0"/>
        <w:autoSpaceDE w:val="0"/>
        <w:autoSpaceDN w:val="0"/>
        <w:adjustRightInd w:val="0"/>
        <w:spacing w:after="0" w:line="135"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3560"/>
        <w:gridCol w:w="4360"/>
      </w:tblGrid>
      <w:tr w:rsidTr="00036A52">
        <w:tblPrEx>
          <w:tblW w:w="0" w:type="auto"/>
          <w:tblLayout w:type="fixed"/>
          <w:tblCellMar>
            <w:left w:w="0" w:type="dxa"/>
            <w:right w:w="0" w:type="dxa"/>
          </w:tblCellMar>
          <w:tblLook w:val="0000"/>
        </w:tblPrEx>
        <w:trPr>
          <w:trHeight w:val="215"/>
        </w:trPr>
        <w:tc>
          <w:tcPr>
            <w:tcW w:w="35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TevaPharmaceuticals, Israil</w:t>
            </w:r>
          </w:p>
        </w:tc>
        <w:tc>
          <w:tcPr>
            <w:tcW w:w="4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060"/>
              <w:rPr>
                <w:rFonts w:ascii="Times New Roman" w:hAnsi="Times New Roman"/>
                <w:sz w:val="24"/>
                <w:szCs w:val="24"/>
                <w:lang w:val="en-US"/>
              </w:rPr>
            </w:pPr>
            <w:r>
              <w:rPr>
                <w:rFonts w:ascii="Arial" w:eastAsia="Arial" w:hAnsi="Arial" w:cs="Arial"/>
                <w:color w:val="1F1A17"/>
                <w:sz w:val="18"/>
                <w:szCs w:val="18"/>
              </w:rPr>
              <w:t>Nipro Corporation, Japonya</w:t>
            </w:r>
          </w:p>
        </w:tc>
      </w:tr>
      <w:tr w:rsidTr="00036A52">
        <w:tblPrEx>
          <w:tblW w:w="0" w:type="auto"/>
          <w:tblLayout w:type="fixed"/>
          <w:tblCellMar>
            <w:left w:w="0" w:type="dxa"/>
            <w:right w:w="0" w:type="dxa"/>
          </w:tblCellMar>
          <w:tblLook w:val="0000"/>
        </w:tblPrEx>
        <w:trPr>
          <w:trHeight w:val="32"/>
        </w:trPr>
        <w:tc>
          <w:tcPr>
            <w:tcW w:w="35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c>
          <w:tcPr>
            <w:tcW w:w="4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2"/>
                <w:szCs w:val="2"/>
                <w:lang w:val="en-US"/>
              </w:rPr>
            </w:pPr>
          </w:p>
        </w:tc>
      </w:tr>
      <w:tr w:rsidTr="00036A52">
        <w:tblPrEx>
          <w:tblW w:w="0" w:type="auto"/>
          <w:tblLayout w:type="fixed"/>
          <w:tblCellMar>
            <w:left w:w="0" w:type="dxa"/>
            <w:right w:w="0" w:type="dxa"/>
          </w:tblCellMar>
          <w:tblLook w:val="0000"/>
        </w:tblPrEx>
        <w:trPr>
          <w:trHeight w:val="338"/>
        </w:trPr>
        <w:tc>
          <w:tcPr>
            <w:tcW w:w="35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Procter &amp;Gamble, ABD </w:t>
            </w:r>
          </w:p>
        </w:tc>
        <w:tc>
          <w:tcPr>
            <w:tcW w:w="436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060"/>
              <w:rPr>
                <w:rFonts w:ascii="Times New Roman" w:hAnsi="Times New Roman"/>
                <w:sz w:val="24"/>
                <w:szCs w:val="24"/>
                <w:lang w:val="en-US"/>
              </w:rPr>
            </w:pPr>
            <w:r>
              <w:rPr>
                <w:rFonts w:ascii="Arial" w:eastAsia="Arial" w:hAnsi="Arial" w:cs="Arial"/>
                <w:color w:val="1F1A17"/>
                <w:sz w:val="18"/>
                <w:szCs w:val="18"/>
              </w:rPr>
              <w:t xml:space="preserve">Pfizer, ABD </w:t>
            </w:r>
          </w:p>
        </w:tc>
      </w:tr>
      <w:tr w:rsidTr="00036A52">
        <w:tblPrEx>
          <w:tblW w:w="0" w:type="auto"/>
          <w:tblLayout w:type="fixed"/>
          <w:tblCellMar>
            <w:left w:w="0" w:type="dxa"/>
            <w:right w:w="0" w:type="dxa"/>
          </w:tblCellMar>
          <w:tblLook w:val="0000"/>
        </w:tblPrEx>
        <w:trPr>
          <w:trHeight w:val="310"/>
        </w:trPr>
        <w:tc>
          <w:tcPr>
            <w:tcW w:w="35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Glaxo Smith Kline, İngiltere</w:t>
            </w:r>
          </w:p>
        </w:tc>
        <w:tc>
          <w:tcPr>
            <w:tcW w:w="4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060"/>
              <w:rPr>
                <w:rFonts w:ascii="Times New Roman" w:hAnsi="Times New Roman"/>
                <w:sz w:val="24"/>
                <w:szCs w:val="24"/>
                <w:lang w:val="en-US"/>
              </w:rPr>
            </w:pPr>
            <w:r>
              <w:rPr>
                <w:rFonts w:ascii="Arial" w:eastAsia="Arial" w:hAnsi="Arial" w:cs="Arial"/>
                <w:color w:val="1F1A17"/>
                <w:sz w:val="18"/>
                <w:szCs w:val="18"/>
              </w:rPr>
              <w:t xml:space="preserve">Johnson &amp; Johnson, ABD </w:t>
            </w:r>
          </w:p>
        </w:tc>
      </w:tr>
      <w:tr w:rsidTr="00036A52">
        <w:tblPrEx>
          <w:tblW w:w="0" w:type="auto"/>
          <w:tblLayout w:type="fixed"/>
          <w:tblCellMar>
            <w:left w:w="0" w:type="dxa"/>
            <w:right w:w="0" w:type="dxa"/>
          </w:tblCellMar>
          <w:tblLook w:val="0000"/>
        </w:tblPrEx>
        <w:trPr>
          <w:trHeight w:val="45"/>
        </w:trPr>
        <w:tc>
          <w:tcPr>
            <w:tcW w:w="35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43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r>
      <w:tr w:rsidTr="00036A52">
        <w:tblPrEx>
          <w:tblW w:w="0" w:type="auto"/>
          <w:tblLayout w:type="fixed"/>
          <w:tblCellMar>
            <w:left w:w="0" w:type="dxa"/>
            <w:right w:w="0" w:type="dxa"/>
          </w:tblCellMar>
          <w:tblLook w:val="0000"/>
        </w:tblPrEx>
        <w:trPr>
          <w:trHeight w:val="305"/>
        </w:trPr>
        <w:tc>
          <w:tcPr>
            <w:tcW w:w="35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OtsukaPharmaceutical, Japonya </w:t>
            </w:r>
          </w:p>
        </w:tc>
        <w:tc>
          <w:tcPr>
            <w:tcW w:w="4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060"/>
              <w:rPr>
                <w:rFonts w:ascii="Times New Roman" w:hAnsi="Times New Roman"/>
                <w:sz w:val="24"/>
                <w:szCs w:val="24"/>
                <w:lang w:val="en-US"/>
              </w:rPr>
            </w:pPr>
            <w:r>
              <w:rPr>
                <w:rFonts w:ascii="Arial" w:eastAsia="Arial" w:hAnsi="Arial" w:cs="Arial"/>
                <w:color w:val="1F1A17"/>
                <w:sz w:val="18"/>
                <w:szCs w:val="18"/>
              </w:rPr>
              <w:t xml:space="preserve">AstraZeneca, İsveç-İngiltere </w:t>
            </w:r>
          </w:p>
        </w:tc>
      </w:tr>
      <w:tr w:rsidTr="00036A52">
        <w:tblPrEx>
          <w:tblW w:w="0" w:type="auto"/>
          <w:tblLayout w:type="fixed"/>
          <w:tblCellMar>
            <w:left w:w="0" w:type="dxa"/>
            <w:right w:w="0" w:type="dxa"/>
          </w:tblCellMar>
          <w:tblLook w:val="0000"/>
        </w:tblPrEx>
        <w:trPr>
          <w:trHeight w:val="52"/>
        </w:trPr>
        <w:tc>
          <w:tcPr>
            <w:tcW w:w="35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43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bl>
    <w:p w:rsidR="00493D0A" w:rsidRPr="0087022D" w:rsidP="00493D0A">
      <w:pPr>
        <w:widowControl w:val="0"/>
        <w:autoSpaceDE w:val="0"/>
        <w:autoSpaceDN w:val="0"/>
        <w:adjustRightInd w:val="0"/>
        <w:spacing w:after="0" w:line="38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0A408A"/>
          <w:sz w:val="30"/>
          <w:szCs w:val="30"/>
        </w:rPr>
        <w:t>Bilgi ve İletişim Teknolojileri (BİT) Sektörü</w:t>
      </w:r>
    </w:p>
    <w:p w:rsidR="00493D0A" w:rsidRPr="0087022D" w:rsidP="00493D0A">
      <w:pPr>
        <w:widowControl w:val="0"/>
        <w:autoSpaceDE w:val="0"/>
        <w:autoSpaceDN w:val="0"/>
        <w:adjustRightInd w:val="0"/>
        <w:spacing w:after="0" w:line="215"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E87817"/>
          <w:sz w:val="26"/>
          <w:szCs w:val="26"/>
        </w:rPr>
        <w:t xml:space="preserve">Türkiye </w:t>
      </w:r>
    </w:p>
    <w:p w:rsidR="00493D0A" w:rsidRPr="0087022D" w:rsidP="00493D0A">
      <w:pPr>
        <w:widowControl w:val="0"/>
        <w:autoSpaceDE w:val="0"/>
        <w:autoSpaceDN w:val="0"/>
        <w:adjustRightInd w:val="0"/>
        <w:spacing w:after="0" w:line="32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Türkiye'de 2007-2010 BİT Piyasası Dağılımı</w:t>
      </w:r>
    </w:p>
    <w:p w:rsidR="00493D0A" w:rsidRPr="0087022D" w:rsidP="00493D0A">
      <w:pPr>
        <w:widowControl w:val="0"/>
        <w:autoSpaceDE w:val="0"/>
        <w:autoSpaceDN w:val="0"/>
        <w:adjustRightInd w:val="0"/>
        <w:spacing w:after="0" w:line="252"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3480"/>
        <w:rPr>
          <w:rFonts w:ascii="Times New Roman" w:hAnsi="Times New Roman"/>
          <w:sz w:val="24"/>
          <w:szCs w:val="24"/>
          <w:lang w:val="en-US"/>
        </w:rPr>
      </w:pPr>
      <w:r>
        <w:rPr>
          <w:rFonts w:ascii="Arial" w:eastAsia="Arial" w:hAnsi="Arial" w:cs="Arial"/>
          <w:b/>
          <w:bCs/>
          <w:color w:val="1F1A17"/>
          <w:sz w:val="18"/>
          <w:szCs w:val="18"/>
        </w:rPr>
        <w:t>(Milyar $ olarak)</w:t>
      </w:r>
    </w:p>
    <w:p w:rsidR="00493D0A" w:rsidRPr="0087022D" w:rsidP="00493D0A">
      <w:pPr>
        <w:widowControl w:val="0"/>
        <w:autoSpaceDE w:val="0"/>
        <w:autoSpaceDN w:val="0"/>
        <w:adjustRightInd w:val="0"/>
        <w:spacing w:after="0" w:line="257" w:lineRule="exact"/>
        <w:rPr>
          <w:rFonts w:ascii="Times New Roman" w:hAnsi="Times New Roman"/>
          <w:sz w:val="24"/>
          <w:szCs w:val="24"/>
          <w:lang w:val="en-US"/>
        </w:rPr>
      </w:pPr>
    </w:p>
    <w:tbl>
      <w:tblPr>
        <w:tblW w:w="0" w:type="auto"/>
        <w:tblLayout w:type="fixed"/>
        <w:tblCellMar>
          <w:left w:w="0" w:type="dxa"/>
          <w:right w:w="0" w:type="dxa"/>
        </w:tblCellMar>
        <w:tblLook w:val="0000"/>
      </w:tblPr>
      <w:tblGrid>
        <w:gridCol w:w="2160"/>
        <w:gridCol w:w="1440"/>
        <w:gridCol w:w="1600"/>
        <w:gridCol w:w="1500"/>
        <w:gridCol w:w="1220"/>
      </w:tblGrid>
      <w:tr w:rsidTr="00036A52">
        <w:tblPrEx>
          <w:tblW w:w="0" w:type="auto"/>
          <w:tblLayout w:type="fixed"/>
          <w:tblCellMar>
            <w:left w:w="0" w:type="dxa"/>
            <w:right w:w="0" w:type="dxa"/>
          </w:tblCellMar>
          <w:tblLook w:val="0000"/>
        </w:tblPrEx>
        <w:trPr>
          <w:trHeight w:val="339"/>
        </w:trPr>
        <w:tc>
          <w:tcPr>
            <w:tcW w:w="216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 xml:space="preserve">Pazar </w:t>
            </w:r>
          </w:p>
        </w:tc>
        <w:tc>
          <w:tcPr>
            <w:tcW w:w="144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ind w:left="400"/>
              <w:rPr>
                <w:rFonts w:ascii="Times New Roman" w:hAnsi="Times New Roman"/>
                <w:sz w:val="24"/>
                <w:szCs w:val="24"/>
                <w:lang w:val="en-US"/>
              </w:rPr>
            </w:pPr>
            <w:r w:rsidRPr="0087022D">
              <w:rPr>
                <w:rFonts w:ascii="Arial" w:hAnsi="Arial" w:cs="Arial"/>
                <w:b/>
                <w:bCs/>
                <w:color w:val="FFFFFF"/>
                <w:sz w:val="20"/>
                <w:szCs w:val="20"/>
                <w:lang w:val="en-US"/>
              </w:rPr>
              <w:t>2007</w:t>
            </w:r>
          </w:p>
        </w:tc>
        <w:tc>
          <w:tcPr>
            <w:tcW w:w="160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b/>
                <w:bCs/>
                <w:color w:val="FFFFFF"/>
                <w:sz w:val="20"/>
                <w:szCs w:val="20"/>
                <w:lang w:val="en-US"/>
              </w:rPr>
              <w:t>2008</w:t>
            </w:r>
          </w:p>
        </w:tc>
        <w:tc>
          <w:tcPr>
            <w:tcW w:w="150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b/>
                <w:bCs/>
                <w:color w:val="FFFFFF"/>
                <w:w w:val="98"/>
                <w:sz w:val="20"/>
                <w:szCs w:val="20"/>
                <w:lang w:val="en-US"/>
              </w:rPr>
              <w:t>2009</w:t>
            </w:r>
          </w:p>
        </w:tc>
        <w:tc>
          <w:tcPr>
            <w:tcW w:w="1220" w:type="dxa"/>
            <w:tcBorders>
              <w:top w:val="nil"/>
              <w:left w:val="nil"/>
              <w:bottom w:val="single" w:sz="8" w:space="0" w:color="E87817"/>
              <w:right w:val="nil"/>
            </w:tcBorders>
            <w:shd w:val="clear" w:color="auto" w:fill="E87817"/>
            <w:vAlign w:val="bottom"/>
          </w:tcPr>
          <w:p w:rsidR="00493D0A" w:rsidRPr="0087022D" w:rsidP="00036A52">
            <w:pPr>
              <w:widowControl w:val="0"/>
              <w:autoSpaceDE w:val="0"/>
              <w:autoSpaceDN w:val="0"/>
              <w:adjustRightInd w:val="0"/>
              <w:spacing w:after="0" w:line="240" w:lineRule="auto"/>
              <w:ind w:left="108"/>
              <w:jc w:val="center"/>
              <w:rPr>
                <w:rFonts w:ascii="Times New Roman" w:hAnsi="Times New Roman"/>
                <w:sz w:val="24"/>
                <w:szCs w:val="24"/>
                <w:lang w:val="en-US"/>
              </w:rPr>
            </w:pPr>
            <w:r w:rsidRPr="0087022D">
              <w:rPr>
                <w:rFonts w:ascii="Arial" w:hAnsi="Arial" w:cs="Arial"/>
                <w:b/>
                <w:bCs/>
                <w:color w:val="FFFFFF"/>
                <w:w w:val="94"/>
                <w:sz w:val="20"/>
                <w:szCs w:val="20"/>
                <w:lang w:val="en-US"/>
              </w:rPr>
              <w:t>2010</w:t>
            </w:r>
          </w:p>
        </w:tc>
      </w:tr>
      <w:tr w:rsidTr="00036A52">
        <w:tblPrEx>
          <w:tblW w:w="0" w:type="auto"/>
          <w:tblLayout w:type="fixed"/>
          <w:tblCellMar>
            <w:left w:w="0" w:type="dxa"/>
            <w:right w:w="0" w:type="dxa"/>
          </w:tblCellMar>
          <w:tblLook w:val="0000"/>
        </w:tblPrEx>
        <w:trPr>
          <w:trHeight w:val="299"/>
        </w:trPr>
        <w:tc>
          <w:tcPr>
            <w:tcW w:w="21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Telekomünikasyon </w:t>
            </w:r>
          </w:p>
        </w:tc>
        <w:tc>
          <w:tcPr>
            <w:tcW w:w="14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400"/>
              <w:rPr>
                <w:rFonts w:ascii="Times New Roman" w:hAnsi="Times New Roman"/>
                <w:sz w:val="24"/>
                <w:szCs w:val="24"/>
                <w:lang w:val="en-US"/>
              </w:rPr>
            </w:pPr>
            <w:r w:rsidRPr="0087022D">
              <w:rPr>
                <w:rFonts w:ascii="Arial" w:hAnsi="Arial" w:cs="Arial"/>
                <w:color w:val="1F1A17"/>
                <w:sz w:val="18"/>
                <w:szCs w:val="18"/>
                <w:lang w:val="en-US"/>
              </w:rPr>
              <w:t>19.3</w:t>
            </w:r>
          </w:p>
        </w:tc>
        <w:tc>
          <w:tcPr>
            <w:tcW w:w="16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w w:val="96"/>
                <w:sz w:val="18"/>
                <w:szCs w:val="18"/>
                <w:lang w:val="en-US"/>
              </w:rPr>
              <w:t>20.9</w:t>
            </w:r>
          </w:p>
        </w:tc>
        <w:tc>
          <w:tcPr>
            <w:tcW w:w="15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w w:val="96"/>
                <w:sz w:val="18"/>
                <w:szCs w:val="18"/>
                <w:lang w:val="en-US"/>
              </w:rPr>
              <w:t>19.6</w:t>
            </w:r>
          </w:p>
        </w:tc>
        <w:tc>
          <w:tcPr>
            <w:tcW w:w="12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08"/>
              <w:jc w:val="center"/>
              <w:rPr>
                <w:rFonts w:ascii="Times New Roman" w:hAnsi="Times New Roman"/>
                <w:sz w:val="24"/>
                <w:szCs w:val="24"/>
                <w:lang w:val="en-US"/>
              </w:rPr>
            </w:pPr>
            <w:r w:rsidRPr="0087022D">
              <w:rPr>
                <w:rFonts w:ascii="Arial" w:hAnsi="Arial" w:cs="Arial"/>
                <w:color w:val="1F1A17"/>
                <w:w w:val="96"/>
                <w:sz w:val="18"/>
                <w:szCs w:val="18"/>
                <w:lang w:val="en-US"/>
              </w:rPr>
              <w:t>20.0</w:t>
            </w:r>
          </w:p>
        </w:tc>
      </w:tr>
      <w:tr w:rsidTr="00036A52">
        <w:tblPrEx>
          <w:tblW w:w="0" w:type="auto"/>
          <w:tblLayout w:type="fixed"/>
          <w:tblCellMar>
            <w:left w:w="0" w:type="dxa"/>
            <w:right w:w="0" w:type="dxa"/>
          </w:tblCellMar>
          <w:tblLook w:val="0000"/>
        </w:tblPrEx>
        <w:trPr>
          <w:trHeight w:val="60"/>
        </w:trPr>
        <w:tc>
          <w:tcPr>
            <w:tcW w:w="21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6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5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98"/>
        </w:trPr>
        <w:tc>
          <w:tcPr>
            <w:tcW w:w="2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BT </w:t>
            </w:r>
          </w:p>
        </w:tc>
        <w:tc>
          <w:tcPr>
            <w:tcW w:w="14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400"/>
              <w:rPr>
                <w:rFonts w:ascii="Times New Roman" w:hAnsi="Times New Roman"/>
                <w:sz w:val="24"/>
                <w:szCs w:val="24"/>
                <w:lang w:val="en-US"/>
              </w:rPr>
            </w:pPr>
            <w:r w:rsidRPr="0087022D">
              <w:rPr>
                <w:rFonts w:ascii="Arial" w:hAnsi="Arial" w:cs="Arial"/>
                <w:color w:val="1F1A17"/>
                <w:sz w:val="18"/>
                <w:szCs w:val="18"/>
                <w:lang w:val="en-US"/>
              </w:rPr>
              <w:t>6.5</w:t>
            </w:r>
          </w:p>
        </w:tc>
        <w:tc>
          <w:tcPr>
            <w:tcW w:w="16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w w:val="87"/>
                <w:sz w:val="18"/>
                <w:szCs w:val="18"/>
                <w:lang w:val="en-US"/>
              </w:rPr>
              <w:t>7.2</w:t>
            </w:r>
          </w:p>
        </w:tc>
        <w:tc>
          <w:tcPr>
            <w:tcW w:w="15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w w:val="95"/>
                <w:sz w:val="18"/>
                <w:szCs w:val="18"/>
                <w:lang w:val="en-US"/>
              </w:rPr>
              <w:t>5.7</w:t>
            </w:r>
          </w:p>
        </w:tc>
        <w:tc>
          <w:tcPr>
            <w:tcW w:w="1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08"/>
              <w:jc w:val="center"/>
              <w:rPr>
                <w:rFonts w:ascii="Times New Roman" w:hAnsi="Times New Roman"/>
                <w:sz w:val="24"/>
                <w:szCs w:val="24"/>
                <w:lang w:val="en-US"/>
              </w:rPr>
            </w:pPr>
            <w:r w:rsidRPr="0087022D">
              <w:rPr>
                <w:rFonts w:ascii="Arial" w:hAnsi="Arial" w:cs="Arial"/>
                <w:color w:val="1F1A17"/>
                <w:w w:val="87"/>
                <w:sz w:val="18"/>
                <w:szCs w:val="18"/>
                <w:lang w:val="en-US"/>
              </w:rPr>
              <w:t>7.3</w:t>
            </w:r>
          </w:p>
        </w:tc>
      </w:tr>
      <w:tr w:rsidTr="00036A52">
        <w:tblPrEx>
          <w:tblW w:w="0" w:type="auto"/>
          <w:tblLayout w:type="fixed"/>
          <w:tblCellMar>
            <w:left w:w="0" w:type="dxa"/>
            <w:right w:w="0" w:type="dxa"/>
          </w:tblCellMar>
          <w:tblLook w:val="0000"/>
        </w:tblPrEx>
        <w:trPr>
          <w:trHeight w:val="61"/>
        </w:trPr>
        <w:tc>
          <w:tcPr>
            <w:tcW w:w="216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6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50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2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Layout w:type="fixed"/>
          <w:tblCellMar>
            <w:left w:w="0" w:type="dxa"/>
            <w:right w:w="0" w:type="dxa"/>
          </w:tblCellMar>
          <w:tblLook w:val="0000"/>
        </w:tblPrEx>
        <w:trPr>
          <w:trHeight w:val="297"/>
        </w:trPr>
        <w:tc>
          <w:tcPr>
            <w:tcW w:w="21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color w:val="1F1A17"/>
                <w:sz w:val="18"/>
                <w:szCs w:val="18"/>
              </w:rPr>
              <w:t xml:space="preserve">BİT toplam </w:t>
            </w:r>
          </w:p>
        </w:tc>
        <w:tc>
          <w:tcPr>
            <w:tcW w:w="14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400"/>
              <w:rPr>
                <w:rFonts w:ascii="Times New Roman" w:hAnsi="Times New Roman"/>
                <w:sz w:val="24"/>
                <w:szCs w:val="24"/>
                <w:lang w:val="en-US"/>
              </w:rPr>
            </w:pPr>
            <w:r w:rsidRPr="0087022D">
              <w:rPr>
                <w:rFonts w:ascii="Arial" w:hAnsi="Arial" w:cs="Arial"/>
                <w:color w:val="1F1A17"/>
                <w:sz w:val="18"/>
                <w:szCs w:val="18"/>
                <w:lang w:val="en-US"/>
              </w:rPr>
              <w:t>25.7</w:t>
            </w:r>
          </w:p>
        </w:tc>
        <w:tc>
          <w:tcPr>
            <w:tcW w:w="16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w w:val="96"/>
                <w:sz w:val="18"/>
                <w:szCs w:val="18"/>
                <w:lang w:val="en-US"/>
              </w:rPr>
              <w:t>28.1</w:t>
            </w:r>
          </w:p>
        </w:tc>
        <w:tc>
          <w:tcPr>
            <w:tcW w:w="15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jc w:val="center"/>
              <w:rPr>
                <w:rFonts w:ascii="Times New Roman" w:hAnsi="Times New Roman"/>
                <w:sz w:val="24"/>
                <w:szCs w:val="24"/>
                <w:lang w:val="en-US"/>
              </w:rPr>
            </w:pPr>
            <w:r w:rsidRPr="0087022D">
              <w:rPr>
                <w:rFonts w:ascii="Arial" w:hAnsi="Arial" w:cs="Arial"/>
                <w:color w:val="1F1A17"/>
                <w:sz w:val="18"/>
                <w:szCs w:val="18"/>
                <w:lang w:val="en-US"/>
              </w:rPr>
              <w:t>26.3</w:t>
            </w:r>
          </w:p>
        </w:tc>
        <w:tc>
          <w:tcPr>
            <w:tcW w:w="12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08"/>
              <w:jc w:val="center"/>
              <w:rPr>
                <w:rFonts w:ascii="Times New Roman" w:hAnsi="Times New Roman"/>
                <w:sz w:val="24"/>
                <w:szCs w:val="24"/>
                <w:lang w:val="en-US"/>
              </w:rPr>
            </w:pPr>
            <w:r w:rsidRPr="0087022D">
              <w:rPr>
                <w:rFonts w:ascii="Arial" w:hAnsi="Arial" w:cs="Arial"/>
                <w:color w:val="1F1A17"/>
                <w:w w:val="85"/>
                <w:sz w:val="18"/>
                <w:szCs w:val="18"/>
                <w:lang w:val="en-US"/>
              </w:rPr>
              <w:t>27.3</w:t>
            </w:r>
          </w:p>
        </w:tc>
      </w:tr>
      <w:tr w:rsidTr="00036A52">
        <w:tblPrEx>
          <w:tblW w:w="0" w:type="auto"/>
          <w:tblLayout w:type="fixed"/>
          <w:tblCellMar>
            <w:left w:w="0" w:type="dxa"/>
            <w:right w:w="0" w:type="dxa"/>
          </w:tblCellMar>
          <w:tblLook w:val="0000"/>
        </w:tblPrEx>
        <w:trPr>
          <w:trHeight w:val="62"/>
        </w:trPr>
        <w:tc>
          <w:tcPr>
            <w:tcW w:w="216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4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6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50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122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bl>
    <w:p w:rsidR="00493D0A" w:rsidRPr="0087022D" w:rsidP="00493D0A">
      <w:pPr>
        <w:widowControl w:val="0"/>
        <w:autoSpaceDE w:val="0"/>
        <w:autoSpaceDN w:val="0"/>
        <w:adjustRightInd w:val="0"/>
        <w:spacing w:after="0" w:line="239"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i/>
          <w:iCs/>
          <w:color w:val="1F1A17"/>
          <w:sz w:val="16"/>
          <w:szCs w:val="16"/>
        </w:rPr>
        <w:t xml:space="preserve"> Kaynak:  Türk Bilişim Sanayicileri Derneği (TÜBİSAD) ve Pazarlama Hizmetleri ve Araştırma Grubu </w:t>
      </w:r>
    </w:p>
    <w:p w:rsidR="00493D0A" w:rsidRPr="0087022D" w:rsidP="00493D0A">
      <w:pPr>
        <w:widowControl w:val="0"/>
        <w:autoSpaceDE w:val="0"/>
        <w:autoSpaceDN w:val="0"/>
        <w:adjustRightInd w:val="0"/>
        <w:spacing w:after="0" w:line="35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Inter Pro Pazarlama Hizmetleri ve Araştırma Grubu'na göre, Türkiye'nin bilgi ve iletişim teknolojileri (BİT) piyasası, sanayi küresel durgunluktan çekildiğinden, 2009 yılından %</w:t>
      </w:r>
      <w:r w:rsidR="006B0D54">
        <w:rPr>
          <w:rFonts w:ascii="Arial" w:eastAsia="Arial" w:hAnsi="Arial" w:cs="Arial"/>
          <w:color w:val="1F1A17"/>
          <w:sz w:val="20"/>
          <w:szCs w:val="20"/>
        </w:rPr>
        <w:t>3,8</w:t>
      </w:r>
      <w:r>
        <w:rPr>
          <w:rFonts w:ascii="Arial" w:eastAsia="Arial" w:hAnsi="Arial" w:cs="Arial"/>
          <w:color w:val="1F1A17"/>
          <w:sz w:val="20"/>
          <w:szCs w:val="20"/>
        </w:rPr>
        <w:t xml:space="preserve"> artışla 2010 yılında </w:t>
      </w:r>
      <w:r w:rsidR="006B0D54">
        <w:rPr>
          <w:rFonts w:ascii="Arial" w:eastAsia="Arial" w:hAnsi="Arial" w:cs="Arial"/>
          <w:color w:val="1F1A17"/>
          <w:sz w:val="20"/>
          <w:szCs w:val="20"/>
        </w:rPr>
        <w:t>27,3</w:t>
      </w:r>
      <w:r>
        <w:rPr>
          <w:rFonts w:ascii="Arial" w:eastAsia="Arial" w:hAnsi="Arial" w:cs="Arial"/>
          <w:color w:val="1F1A17"/>
          <w:sz w:val="20"/>
          <w:szCs w:val="20"/>
        </w:rPr>
        <w:t xml:space="preserve"> milyar USD değerine ulaşmıştır. 2003'ten beri iki katından fazlasına çıkan piyasa, ABD ve Avrupa Birliği'ndeki tek haneli büyümenin aksine, 2005 ve 2009 yılları arasında %14 yıllık bileşik büyüme oranına sahipti. Bilişim teknolojileri (BT) </w:t>
      </w:r>
      <w:r w:rsidR="006B0D54">
        <w:rPr>
          <w:rFonts w:ascii="Arial" w:eastAsia="Arial" w:hAnsi="Arial" w:cs="Arial"/>
          <w:color w:val="1F1A17"/>
          <w:sz w:val="20"/>
          <w:szCs w:val="20"/>
        </w:rPr>
        <w:t>7,3</w:t>
      </w:r>
      <w:r>
        <w:rPr>
          <w:rFonts w:ascii="Arial" w:eastAsia="Arial" w:hAnsi="Arial" w:cs="Arial"/>
          <w:color w:val="1F1A17"/>
          <w:sz w:val="20"/>
          <w:szCs w:val="20"/>
        </w:rPr>
        <w:t xml:space="preserve"> milyar USD'ye karşılık gelirken, telekomünikasyon, piyasanın </w:t>
      </w:r>
      <w:r w:rsidR="006B0D54">
        <w:rPr>
          <w:rFonts w:ascii="Arial" w:eastAsia="Arial" w:hAnsi="Arial" w:cs="Arial"/>
          <w:color w:val="1F1A17"/>
          <w:sz w:val="20"/>
          <w:szCs w:val="20"/>
        </w:rPr>
        <w:t>20,0</w:t>
      </w:r>
      <w:r>
        <w:rPr>
          <w:rFonts w:ascii="Arial" w:eastAsia="Arial" w:hAnsi="Arial" w:cs="Arial"/>
          <w:color w:val="1F1A17"/>
          <w:sz w:val="20"/>
          <w:szCs w:val="20"/>
        </w:rPr>
        <w:t xml:space="preserve"> milyar USD'sine karşılık gelmekteydi.</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703296" behindDoc="1" locked="0" layoutInCell="0" allowOverlap="1">
            <wp:simplePos x="0" y="0"/>
            <wp:positionH relativeFrom="page">
              <wp:posOffset>0</wp:posOffset>
            </wp:positionH>
            <wp:positionV relativeFrom="page">
              <wp:posOffset>377190</wp:posOffset>
            </wp:positionV>
            <wp:extent cx="7880350" cy="9897110"/>
            <wp:effectExtent l="0" t="0" r="0" b="0"/>
            <wp:wrapNone/>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07283" name="Picture 186"/>
                    <pic:cNvPicPr>
                      <a:picLocks noChangeAspect="1" noChangeArrowheads="1"/>
                    </pic:cNvPicPr>
                  </pic:nvPicPr>
                  <pic:blipFill>
                    <a:blip xmlns:r="http://schemas.openxmlformats.org/officeDocument/2006/relationships" r:embed="rId25">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ind w:left="20" w:right="20"/>
        <w:jc w:val="both"/>
        <w:rPr>
          <w:rFonts w:ascii="Times New Roman" w:hAnsi="Times New Roman"/>
          <w:sz w:val="24"/>
          <w:szCs w:val="24"/>
          <w:lang w:val="en-US"/>
        </w:rPr>
      </w:pPr>
      <w:r>
        <w:rPr>
          <w:rFonts w:ascii="Arial" w:eastAsia="Arial" w:hAnsi="Arial" w:cs="Arial"/>
          <w:color w:val="1F1A17"/>
          <w:sz w:val="20"/>
          <w:szCs w:val="20"/>
        </w:rPr>
        <w:t>Son yıllarda büyük bir ivme elde edilmesine rağmen, GSYİH içindeki BİT'in payı Avrupa Birliği'ndeki %8 ila %10 ile karşılaştırıldığında %</w:t>
      </w:r>
      <w:r w:rsidR="006B0D54">
        <w:rPr>
          <w:rFonts w:ascii="Arial" w:eastAsia="Arial" w:hAnsi="Arial" w:cs="Arial"/>
          <w:color w:val="1F1A17"/>
          <w:sz w:val="20"/>
          <w:szCs w:val="20"/>
        </w:rPr>
        <w:t>4,2</w:t>
      </w:r>
      <w:r>
        <w:rPr>
          <w:rFonts w:ascii="Arial" w:eastAsia="Arial" w:hAnsi="Arial" w:cs="Arial"/>
          <w:color w:val="1F1A17"/>
          <w:sz w:val="20"/>
          <w:szCs w:val="20"/>
        </w:rPr>
        <w:t xml:space="preserve"> civarında kalmaktadır. BİT ithalatı ihracatı geniş oranda aşmaktadır ve ICT'deki</w:t>
      </w:r>
      <w:r w:rsidR="00094157">
        <w:rPr>
          <w:rFonts w:ascii="Arial" w:eastAsia="Arial" w:hAnsi="Arial" w:cs="Arial"/>
          <w:color w:val="1F1A17"/>
          <w:sz w:val="20"/>
          <w:szCs w:val="20"/>
        </w:rPr>
        <w:t xml:space="preserve">(Blişim ve İletişim Teknolojisi) </w:t>
      </w:r>
      <w:r>
        <w:rPr>
          <w:rFonts w:ascii="Arial" w:eastAsia="Arial" w:hAnsi="Arial" w:cs="Arial"/>
          <w:color w:val="1F1A17"/>
          <w:sz w:val="20"/>
          <w:szCs w:val="20"/>
        </w:rPr>
        <w:t>kişi başına ortalama harcama Batı Avrupa'daki 500 USD ve ABD'deki 1.200 USD ile karşılaştırıldığında 40 USD civarındadır.</w:t>
      </w:r>
    </w:p>
    <w:p w:rsidR="00493D0A" w:rsidRPr="0087022D" w:rsidP="00493D0A">
      <w:pPr>
        <w:widowControl w:val="0"/>
        <w:autoSpaceDE w:val="0"/>
        <w:autoSpaceDN w:val="0"/>
        <w:adjustRightInd w:val="0"/>
        <w:spacing w:after="0" w:line="220"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7" w:lineRule="auto"/>
        <w:ind w:left="20" w:right="20"/>
        <w:jc w:val="both"/>
        <w:rPr>
          <w:rFonts w:ascii="Times New Roman" w:hAnsi="Times New Roman"/>
          <w:sz w:val="24"/>
          <w:szCs w:val="24"/>
          <w:lang w:val="en-US"/>
        </w:rPr>
      </w:pPr>
      <w:r>
        <w:rPr>
          <w:rFonts w:ascii="Arial" w:eastAsia="Arial" w:hAnsi="Arial" w:cs="Arial"/>
          <w:color w:val="1F1A17"/>
          <w:sz w:val="20"/>
          <w:szCs w:val="20"/>
        </w:rPr>
        <w:t xml:space="preserve"> 2010 yılında </w:t>
      </w:r>
      <w:r w:rsidR="006B0D54">
        <w:rPr>
          <w:rFonts w:ascii="Arial" w:eastAsia="Arial" w:hAnsi="Arial" w:cs="Arial"/>
          <w:color w:val="1F1A17"/>
          <w:sz w:val="20"/>
          <w:szCs w:val="20"/>
        </w:rPr>
        <w:t>7,3</w:t>
      </w:r>
      <w:r>
        <w:rPr>
          <w:rFonts w:ascii="Arial" w:eastAsia="Arial" w:hAnsi="Arial" w:cs="Arial"/>
          <w:color w:val="1F1A17"/>
          <w:sz w:val="20"/>
          <w:szCs w:val="20"/>
        </w:rPr>
        <w:t xml:space="preserve"> milyar USD'lik piyasa büyüklüğü ile nispeten küçük olsa da Türkiye, BT </w:t>
      </w:r>
      <w:r w:rsidR="00094157">
        <w:rPr>
          <w:rFonts w:ascii="Arial" w:eastAsia="Arial" w:hAnsi="Arial" w:cs="Arial"/>
          <w:color w:val="1F1A17"/>
          <w:sz w:val="20"/>
          <w:szCs w:val="20"/>
        </w:rPr>
        <w:t xml:space="preserve"> (Biişim Teknolojisi) </w:t>
      </w:r>
      <w:r>
        <w:rPr>
          <w:rFonts w:ascii="Arial" w:eastAsia="Arial" w:hAnsi="Arial" w:cs="Arial"/>
          <w:color w:val="1F1A17"/>
          <w:sz w:val="20"/>
          <w:szCs w:val="20"/>
        </w:rPr>
        <w:t xml:space="preserve">dünyasının en hızlı büyüyen piyasalarından birine sahiptir. BT piyasanın %50'sinden fazlasına donanım satışları </w:t>
      </w:r>
      <w:r w:rsidR="006B0D54">
        <w:rPr>
          <w:rFonts w:ascii="Arial" w:eastAsia="Arial" w:hAnsi="Arial" w:cs="Arial"/>
          <w:color w:val="1F1A17"/>
          <w:sz w:val="20"/>
          <w:szCs w:val="20"/>
        </w:rPr>
        <w:t>hâkimdir</w:t>
      </w:r>
      <w:r>
        <w:rPr>
          <w:rFonts w:ascii="Arial" w:eastAsia="Arial" w:hAnsi="Arial" w:cs="Arial"/>
          <w:color w:val="1F1A17"/>
          <w:sz w:val="20"/>
          <w:szCs w:val="20"/>
        </w:rPr>
        <w:t>. 2010 yılında Türkiye'de yaklaşık 3.604 milyon bilgisayar satılmıştır; bu, 2009'dan beri %20 artış ve sadece 600.000 PC'nin satıldığı 2002'den beri altı kat artış demektir. Satışların yaklaşık %70'i dizüstü bilgisayarlarda bulunmaktadır.</w:t>
      </w:r>
    </w:p>
    <w:p w:rsidR="00493D0A" w:rsidRPr="0087022D" w:rsidP="00493D0A">
      <w:pPr>
        <w:widowControl w:val="0"/>
        <w:autoSpaceDE w:val="0"/>
        <w:autoSpaceDN w:val="0"/>
        <w:adjustRightInd w:val="0"/>
        <w:spacing w:after="0" w:line="25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b/>
          <w:bCs/>
          <w:color w:val="E87817"/>
          <w:sz w:val="20"/>
          <w:szCs w:val="20"/>
        </w:rPr>
        <w:t>Yıllara Göre Türkiye'de İnternet Servisi Kullanıcıları</w:t>
      </w:r>
    </w:p>
    <w:p w:rsidR="00493D0A" w:rsidRPr="0087022D" w:rsidP="00493D0A">
      <w:pPr>
        <w:widowControl w:val="0"/>
        <w:autoSpaceDE w:val="0"/>
        <w:autoSpaceDN w:val="0"/>
        <w:adjustRightInd w:val="0"/>
        <w:spacing w:after="0" w:line="225" w:lineRule="exact"/>
        <w:rPr>
          <w:rFonts w:ascii="Times New Roman" w:hAnsi="Times New Roman"/>
          <w:sz w:val="24"/>
          <w:szCs w:val="24"/>
          <w:lang w:val="en-US"/>
        </w:rPr>
      </w:pPr>
    </w:p>
    <w:tbl>
      <w:tblPr>
        <w:tblW w:w="0" w:type="auto"/>
        <w:tblInd w:w="20" w:type="dxa"/>
        <w:tblLayout w:type="fixed"/>
        <w:tblCellMar>
          <w:left w:w="0" w:type="dxa"/>
          <w:right w:w="0" w:type="dxa"/>
        </w:tblCellMar>
        <w:tblLook w:val="0000"/>
      </w:tblPr>
      <w:tblGrid>
        <w:gridCol w:w="2880"/>
        <w:gridCol w:w="5040"/>
      </w:tblGrid>
      <w:tr w:rsidTr="00036A52">
        <w:tblPrEx>
          <w:tblW w:w="0" w:type="auto"/>
          <w:tblInd w:w="20" w:type="dxa"/>
          <w:tblLayout w:type="fixed"/>
          <w:tblCellMar>
            <w:left w:w="0" w:type="dxa"/>
            <w:right w:w="0" w:type="dxa"/>
          </w:tblCellMar>
          <w:tblLook w:val="0000"/>
        </w:tblPrEx>
        <w:trPr>
          <w:trHeight w:val="291"/>
        </w:trPr>
        <w:tc>
          <w:tcPr>
            <w:tcW w:w="288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Pr>
                <w:rFonts w:ascii="Arial" w:eastAsia="Arial" w:hAnsi="Arial" w:cs="Arial"/>
                <w:b/>
                <w:bCs/>
                <w:color w:val="FFFFFF"/>
                <w:sz w:val="20"/>
                <w:szCs w:val="20"/>
              </w:rPr>
              <w:t xml:space="preserve">Yıl </w:t>
            </w:r>
          </w:p>
        </w:tc>
        <w:tc>
          <w:tcPr>
            <w:tcW w:w="50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b/>
                <w:bCs/>
                <w:color w:val="FFFFFF"/>
                <w:sz w:val="20"/>
                <w:szCs w:val="20"/>
              </w:rPr>
              <w:t xml:space="preserve">Abone Sayısı </w:t>
            </w:r>
          </w:p>
        </w:tc>
      </w:tr>
      <w:tr w:rsidTr="00036A52">
        <w:tblPrEx>
          <w:tblW w:w="0" w:type="auto"/>
          <w:tblInd w:w="20" w:type="dxa"/>
          <w:tblLayout w:type="fixed"/>
          <w:tblCellMar>
            <w:left w:w="0" w:type="dxa"/>
            <w:right w:w="0" w:type="dxa"/>
          </w:tblCellMar>
          <w:tblLook w:val="0000"/>
        </w:tblPrEx>
        <w:trPr>
          <w:trHeight w:val="65"/>
        </w:trPr>
        <w:tc>
          <w:tcPr>
            <w:tcW w:w="288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040" w:type="dxa"/>
            <w:tcBorders>
              <w:top w:val="nil"/>
              <w:left w:val="nil"/>
              <w:bottom w:val="nil"/>
              <w:right w:val="nil"/>
            </w:tcBorders>
            <w:shd w:val="clear" w:color="auto" w:fill="E87817"/>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Ind w:w="20" w:type="dxa"/>
          <w:tblLayout w:type="fixed"/>
          <w:tblCellMar>
            <w:left w:w="0" w:type="dxa"/>
            <w:right w:w="0" w:type="dxa"/>
          </w:tblCellMar>
          <w:tblLook w:val="0000"/>
        </w:tblPrEx>
        <w:trPr>
          <w:trHeight w:val="289"/>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1999</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2,000,000</w:t>
            </w:r>
          </w:p>
        </w:tc>
      </w:tr>
      <w:tr w:rsidTr="00036A52">
        <w:tblPrEx>
          <w:tblW w:w="0" w:type="auto"/>
          <w:tblInd w:w="20" w:type="dxa"/>
          <w:tblLayout w:type="fixed"/>
          <w:tblCellMar>
            <w:left w:w="0" w:type="dxa"/>
            <w:right w:w="0" w:type="dxa"/>
          </w:tblCellMar>
          <w:tblLook w:val="0000"/>
        </w:tblPrEx>
        <w:trPr>
          <w:trHeight w:val="66"/>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Ind w:w="20" w:type="dxa"/>
          <w:tblLayout w:type="fixed"/>
          <w:tblCellMar>
            <w:left w:w="0" w:type="dxa"/>
            <w:right w:w="0" w:type="dxa"/>
          </w:tblCellMar>
          <w:tblLook w:val="0000"/>
        </w:tblPrEx>
        <w:trPr>
          <w:trHeight w:val="292"/>
        </w:trPr>
        <w:tc>
          <w:tcPr>
            <w:tcW w:w="28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2000</w:t>
            </w:r>
          </w:p>
        </w:tc>
        <w:tc>
          <w:tcPr>
            <w:tcW w:w="50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2,500,000</w:t>
            </w:r>
          </w:p>
        </w:tc>
      </w:tr>
      <w:tr w:rsidTr="00036A52">
        <w:tblPrEx>
          <w:tblW w:w="0" w:type="auto"/>
          <w:tblInd w:w="20" w:type="dxa"/>
          <w:tblLayout w:type="fixed"/>
          <w:tblCellMar>
            <w:left w:w="0" w:type="dxa"/>
            <w:right w:w="0" w:type="dxa"/>
          </w:tblCellMar>
          <w:tblLook w:val="0000"/>
        </w:tblPrEx>
        <w:trPr>
          <w:trHeight w:val="64"/>
        </w:trPr>
        <w:tc>
          <w:tcPr>
            <w:tcW w:w="28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0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Ind w:w="20" w:type="dxa"/>
          <w:tblLayout w:type="fixed"/>
          <w:tblCellMar>
            <w:left w:w="0" w:type="dxa"/>
            <w:right w:w="0" w:type="dxa"/>
          </w:tblCellMar>
          <w:tblLook w:val="0000"/>
        </w:tblPrEx>
        <w:trPr>
          <w:trHeight w:val="294"/>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2001</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3,500,000</w:t>
            </w:r>
          </w:p>
        </w:tc>
      </w:tr>
      <w:tr w:rsidTr="00036A52">
        <w:tblPrEx>
          <w:tblW w:w="0" w:type="auto"/>
          <w:tblInd w:w="20" w:type="dxa"/>
          <w:tblLayout w:type="fixed"/>
          <w:tblCellMar>
            <w:left w:w="0" w:type="dxa"/>
            <w:right w:w="0" w:type="dxa"/>
          </w:tblCellMar>
          <w:tblLook w:val="0000"/>
        </w:tblPrEx>
        <w:trPr>
          <w:trHeight w:val="62"/>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5"/>
                <w:szCs w:val="5"/>
                <w:lang w:val="en-US"/>
              </w:rPr>
            </w:pPr>
          </w:p>
        </w:tc>
      </w:tr>
      <w:tr w:rsidTr="00036A52">
        <w:tblPrEx>
          <w:tblW w:w="0" w:type="auto"/>
          <w:tblInd w:w="20" w:type="dxa"/>
          <w:tblLayout w:type="fixed"/>
          <w:tblCellMar>
            <w:left w:w="0" w:type="dxa"/>
            <w:right w:w="0" w:type="dxa"/>
          </w:tblCellMar>
          <w:tblLook w:val="0000"/>
        </w:tblPrEx>
        <w:trPr>
          <w:trHeight w:val="336"/>
        </w:trPr>
        <w:tc>
          <w:tcPr>
            <w:tcW w:w="288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2002</w:t>
            </w:r>
          </w:p>
        </w:tc>
        <w:tc>
          <w:tcPr>
            <w:tcW w:w="504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4,000,000</w:t>
            </w:r>
          </w:p>
        </w:tc>
      </w:tr>
      <w:tr w:rsidTr="00036A52">
        <w:tblPrEx>
          <w:tblW w:w="0" w:type="auto"/>
          <w:tblInd w:w="20" w:type="dxa"/>
          <w:tblLayout w:type="fixed"/>
          <w:tblCellMar>
            <w:left w:w="0" w:type="dxa"/>
            <w:right w:w="0" w:type="dxa"/>
          </w:tblCellMar>
          <w:tblLook w:val="0000"/>
        </w:tblPrEx>
        <w:trPr>
          <w:trHeight w:val="299"/>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2003</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6,000,000</w:t>
            </w:r>
          </w:p>
        </w:tc>
      </w:tr>
      <w:tr w:rsidTr="00036A52">
        <w:tblPrEx>
          <w:tblW w:w="0" w:type="auto"/>
          <w:tblInd w:w="20" w:type="dxa"/>
          <w:tblLayout w:type="fixed"/>
          <w:tblCellMar>
            <w:left w:w="0" w:type="dxa"/>
            <w:right w:w="0" w:type="dxa"/>
          </w:tblCellMar>
          <w:tblLook w:val="0000"/>
        </w:tblPrEx>
        <w:trPr>
          <w:trHeight w:val="57"/>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r w:rsidTr="00036A52">
        <w:tblPrEx>
          <w:tblW w:w="0" w:type="auto"/>
          <w:tblInd w:w="20" w:type="dxa"/>
          <w:tblLayout w:type="fixed"/>
          <w:tblCellMar>
            <w:left w:w="0" w:type="dxa"/>
            <w:right w:w="0" w:type="dxa"/>
          </w:tblCellMar>
          <w:tblLook w:val="0000"/>
        </w:tblPrEx>
        <w:trPr>
          <w:trHeight w:val="336"/>
        </w:trPr>
        <w:tc>
          <w:tcPr>
            <w:tcW w:w="288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2004</w:t>
            </w:r>
          </w:p>
        </w:tc>
        <w:tc>
          <w:tcPr>
            <w:tcW w:w="504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11,279,000</w:t>
            </w:r>
          </w:p>
        </w:tc>
      </w:tr>
      <w:tr w:rsidTr="00036A52">
        <w:tblPrEx>
          <w:tblW w:w="0" w:type="auto"/>
          <w:tblInd w:w="20" w:type="dxa"/>
          <w:tblLayout w:type="fixed"/>
          <w:tblCellMar>
            <w:left w:w="0" w:type="dxa"/>
            <w:right w:w="0" w:type="dxa"/>
          </w:tblCellMar>
          <w:tblLook w:val="0000"/>
        </w:tblPrEx>
        <w:trPr>
          <w:trHeight w:val="303"/>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2005</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sidRPr="0087022D">
              <w:rPr>
                <w:rFonts w:ascii="Arial" w:hAnsi="Arial" w:cs="Arial"/>
                <w:color w:val="1F1A17"/>
                <w:sz w:val="18"/>
                <w:szCs w:val="18"/>
                <w:lang w:val="en-US"/>
              </w:rPr>
              <w:t>14,844,000</w:t>
            </w:r>
          </w:p>
        </w:tc>
      </w:tr>
      <w:tr w:rsidTr="00036A52">
        <w:tblPrEx>
          <w:tblW w:w="0" w:type="auto"/>
          <w:tblInd w:w="20" w:type="dxa"/>
          <w:tblLayout w:type="fixed"/>
          <w:tblCellMar>
            <w:left w:w="0" w:type="dxa"/>
            <w:right w:w="0" w:type="dxa"/>
          </w:tblCellMar>
          <w:tblLook w:val="0000"/>
        </w:tblPrEx>
        <w:trPr>
          <w:trHeight w:val="52"/>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r w:rsidTr="00036A52">
        <w:tblPrEx>
          <w:tblW w:w="0" w:type="auto"/>
          <w:tblInd w:w="20" w:type="dxa"/>
          <w:tblLayout w:type="fixed"/>
          <w:tblCellMar>
            <w:left w:w="0" w:type="dxa"/>
            <w:right w:w="0" w:type="dxa"/>
          </w:tblCellMar>
          <w:tblLook w:val="0000"/>
        </w:tblPrEx>
        <w:trPr>
          <w:trHeight w:val="336"/>
        </w:trPr>
        <w:tc>
          <w:tcPr>
            <w:tcW w:w="288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2006</w:t>
            </w:r>
          </w:p>
        </w:tc>
        <w:tc>
          <w:tcPr>
            <w:tcW w:w="504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color w:val="1F1A17"/>
                <w:sz w:val="18"/>
                <w:szCs w:val="18"/>
              </w:rPr>
              <w:t>16,406,000*</w:t>
            </w:r>
          </w:p>
        </w:tc>
      </w:tr>
      <w:tr w:rsidTr="00036A52">
        <w:tblPrEx>
          <w:tblW w:w="0" w:type="auto"/>
          <w:tblInd w:w="20" w:type="dxa"/>
          <w:tblLayout w:type="fixed"/>
          <w:tblCellMar>
            <w:left w:w="0" w:type="dxa"/>
            <w:right w:w="0" w:type="dxa"/>
          </w:tblCellMar>
          <w:tblLook w:val="0000"/>
        </w:tblPrEx>
        <w:trPr>
          <w:trHeight w:val="308"/>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2007</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color w:val="1F1A17"/>
                <w:sz w:val="18"/>
                <w:szCs w:val="18"/>
              </w:rPr>
              <w:t>17,851,000*</w:t>
            </w:r>
          </w:p>
        </w:tc>
      </w:tr>
      <w:tr w:rsidTr="00036A52">
        <w:tblPrEx>
          <w:tblW w:w="0" w:type="auto"/>
          <w:tblInd w:w="20" w:type="dxa"/>
          <w:tblLayout w:type="fixed"/>
          <w:tblCellMar>
            <w:left w:w="0" w:type="dxa"/>
            <w:right w:w="0" w:type="dxa"/>
          </w:tblCellMar>
          <w:tblLook w:val="0000"/>
        </w:tblPrEx>
        <w:trPr>
          <w:trHeight w:val="47"/>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4"/>
                <w:szCs w:val="4"/>
                <w:lang w:val="en-US"/>
              </w:rPr>
            </w:pPr>
          </w:p>
        </w:tc>
      </w:tr>
      <w:tr w:rsidTr="00036A52">
        <w:tblPrEx>
          <w:tblW w:w="0" w:type="auto"/>
          <w:tblInd w:w="20" w:type="dxa"/>
          <w:tblLayout w:type="fixed"/>
          <w:tblCellMar>
            <w:left w:w="0" w:type="dxa"/>
            <w:right w:w="0" w:type="dxa"/>
          </w:tblCellMar>
          <w:tblLook w:val="0000"/>
        </w:tblPrEx>
        <w:trPr>
          <w:trHeight w:val="336"/>
        </w:trPr>
        <w:tc>
          <w:tcPr>
            <w:tcW w:w="288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2008</w:t>
            </w:r>
          </w:p>
        </w:tc>
        <w:tc>
          <w:tcPr>
            <w:tcW w:w="5040" w:type="dxa"/>
            <w:tcBorders>
              <w:top w:val="nil"/>
              <w:left w:val="nil"/>
              <w:bottom w:val="single" w:sz="8" w:space="0" w:color="F7C44A"/>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color w:val="1F1A17"/>
                <w:sz w:val="18"/>
                <w:szCs w:val="18"/>
              </w:rPr>
              <w:t>19,052,000*</w:t>
            </w:r>
          </w:p>
        </w:tc>
      </w:tr>
      <w:tr w:rsidTr="00036A52">
        <w:tblPrEx>
          <w:tblW w:w="0" w:type="auto"/>
          <w:tblInd w:w="20" w:type="dxa"/>
          <w:tblLayout w:type="fixed"/>
          <w:tblCellMar>
            <w:left w:w="0" w:type="dxa"/>
            <w:right w:w="0" w:type="dxa"/>
          </w:tblCellMar>
          <w:tblLook w:val="0000"/>
        </w:tblPrEx>
        <w:trPr>
          <w:trHeight w:val="313"/>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2009</w:t>
            </w: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color w:val="1F1A17"/>
                <w:sz w:val="18"/>
                <w:szCs w:val="18"/>
              </w:rPr>
              <w:t>20,104, 000*</w:t>
            </w:r>
          </w:p>
        </w:tc>
      </w:tr>
      <w:tr w:rsidTr="00036A52">
        <w:tblPrEx>
          <w:tblW w:w="0" w:type="auto"/>
          <w:tblInd w:w="20" w:type="dxa"/>
          <w:tblLayout w:type="fixed"/>
          <w:tblCellMar>
            <w:left w:w="0" w:type="dxa"/>
            <w:right w:w="0" w:type="dxa"/>
          </w:tblCellMar>
          <w:tblLook w:val="0000"/>
        </w:tblPrEx>
        <w:trPr>
          <w:trHeight w:val="43"/>
        </w:trPr>
        <w:tc>
          <w:tcPr>
            <w:tcW w:w="288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5040" w:type="dxa"/>
            <w:tcBorders>
              <w:top w:val="nil"/>
              <w:left w:val="nil"/>
              <w:bottom w:val="nil"/>
              <w:right w:val="nil"/>
            </w:tcBorders>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r>
      <w:tr w:rsidTr="00036A52">
        <w:tblPrEx>
          <w:tblW w:w="0" w:type="auto"/>
          <w:tblInd w:w="20" w:type="dxa"/>
          <w:tblLayout w:type="fixed"/>
          <w:tblCellMar>
            <w:left w:w="0" w:type="dxa"/>
            <w:right w:w="0" w:type="dxa"/>
          </w:tblCellMar>
          <w:tblLook w:val="0000"/>
        </w:tblPrEx>
        <w:trPr>
          <w:trHeight w:val="315"/>
        </w:trPr>
        <w:tc>
          <w:tcPr>
            <w:tcW w:w="28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left="120"/>
              <w:rPr>
                <w:rFonts w:ascii="Times New Roman" w:hAnsi="Times New Roman"/>
                <w:sz w:val="24"/>
                <w:szCs w:val="24"/>
                <w:lang w:val="en-US"/>
              </w:rPr>
            </w:pPr>
            <w:r w:rsidRPr="0087022D">
              <w:rPr>
                <w:rFonts w:ascii="Arial" w:hAnsi="Arial" w:cs="Arial"/>
                <w:color w:val="1F1A17"/>
                <w:sz w:val="18"/>
                <w:szCs w:val="18"/>
                <w:lang w:val="en-US"/>
              </w:rPr>
              <w:t>2010</w:t>
            </w:r>
          </w:p>
        </w:tc>
        <w:tc>
          <w:tcPr>
            <w:tcW w:w="50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ind w:right="489"/>
              <w:jc w:val="right"/>
              <w:rPr>
                <w:rFonts w:ascii="Times New Roman" w:hAnsi="Times New Roman"/>
                <w:sz w:val="24"/>
                <w:szCs w:val="24"/>
                <w:lang w:val="en-US"/>
              </w:rPr>
            </w:pPr>
            <w:r>
              <w:rPr>
                <w:rFonts w:ascii="Arial" w:eastAsia="Arial" w:hAnsi="Arial" w:cs="Arial"/>
                <w:color w:val="1F1A17"/>
                <w:sz w:val="18"/>
                <w:szCs w:val="18"/>
              </w:rPr>
              <w:t>20,957,000*</w:t>
            </w:r>
          </w:p>
        </w:tc>
      </w:tr>
      <w:tr w:rsidTr="00036A52">
        <w:tblPrEx>
          <w:tblW w:w="0" w:type="auto"/>
          <w:tblInd w:w="20" w:type="dxa"/>
          <w:tblLayout w:type="fixed"/>
          <w:tblCellMar>
            <w:left w:w="0" w:type="dxa"/>
            <w:right w:w="0" w:type="dxa"/>
          </w:tblCellMar>
          <w:tblLook w:val="0000"/>
        </w:tblPrEx>
        <w:trPr>
          <w:trHeight w:val="40"/>
        </w:trPr>
        <w:tc>
          <w:tcPr>
            <w:tcW w:w="288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c>
          <w:tcPr>
            <w:tcW w:w="5040" w:type="dxa"/>
            <w:tcBorders>
              <w:top w:val="nil"/>
              <w:left w:val="nil"/>
              <w:bottom w:val="nil"/>
              <w:right w:val="nil"/>
            </w:tcBorders>
            <w:shd w:val="clear" w:color="auto" w:fill="F7C44A"/>
            <w:vAlign w:val="bottom"/>
          </w:tcPr>
          <w:p w:rsidR="00493D0A" w:rsidRPr="0087022D" w:rsidP="00036A52">
            <w:pPr>
              <w:widowControl w:val="0"/>
              <w:autoSpaceDE w:val="0"/>
              <w:autoSpaceDN w:val="0"/>
              <w:adjustRightInd w:val="0"/>
              <w:spacing w:after="0" w:line="240" w:lineRule="auto"/>
              <w:rPr>
                <w:rFonts w:ascii="Times New Roman" w:hAnsi="Times New Roman"/>
                <w:sz w:val="3"/>
                <w:szCs w:val="3"/>
                <w:lang w:val="en-US"/>
              </w:rPr>
            </w:pPr>
          </w:p>
        </w:tc>
      </w:tr>
    </w:tbl>
    <w:p w:rsidR="00493D0A" w:rsidRPr="0087022D" w:rsidP="00493D0A">
      <w:pPr>
        <w:widowControl w:val="0"/>
        <w:autoSpaceDE w:val="0"/>
        <w:autoSpaceDN w:val="0"/>
        <w:adjustRightInd w:val="0"/>
        <w:spacing w:after="0" w:line="128"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ind w:left="20"/>
        <w:rPr>
          <w:rFonts w:ascii="Times New Roman" w:hAnsi="Times New Roman"/>
          <w:sz w:val="24"/>
          <w:szCs w:val="24"/>
          <w:lang w:val="en-US"/>
        </w:rPr>
      </w:pPr>
      <w:r>
        <w:rPr>
          <w:rFonts w:ascii="Arial" w:eastAsia="Arial" w:hAnsi="Arial" w:cs="Arial"/>
          <w:color w:val="1F1A17"/>
          <w:sz w:val="17"/>
          <w:szCs w:val="17"/>
        </w:rPr>
        <w:t xml:space="preserve">* Tahmini </w:t>
      </w:r>
    </w:p>
    <w:p w:rsidR="00493D0A" w:rsidRPr="0087022D" w:rsidP="00493D0A">
      <w:pPr>
        <w:widowControl w:val="0"/>
        <w:autoSpaceDE w:val="0"/>
        <w:autoSpaceDN w:val="0"/>
        <w:adjustRightInd w:val="0"/>
        <w:spacing w:after="0" w:line="5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322" w:lineRule="auto"/>
        <w:ind w:left="20"/>
        <w:rPr>
          <w:rFonts w:ascii="Times New Roman" w:hAnsi="Times New Roman"/>
          <w:sz w:val="24"/>
          <w:szCs w:val="24"/>
          <w:lang w:val="en-US"/>
        </w:rPr>
      </w:pPr>
      <w:r>
        <w:rPr>
          <w:rFonts w:ascii="Arial" w:eastAsia="Arial" w:hAnsi="Arial" w:cs="Arial"/>
          <w:i/>
          <w:iCs/>
          <w:color w:val="1F1A17"/>
          <w:sz w:val="17"/>
          <w:szCs w:val="17"/>
        </w:rPr>
        <w:t xml:space="preserve"> Kaynak:  Ulaştırma ve telekomünikasyon Bakanlığı, DPT ve Piramit Araştırma ve Ekonomik İstihbarat Birimi </w:t>
      </w:r>
    </w:p>
    <w:p w:rsidR="00493D0A" w:rsidRPr="0087022D" w:rsidP="00493D0A">
      <w:pPr>
        <w:widowControl w:val="0"/>
        <w:autoSpaceDE w:val="0"/>
        <w:autoSpaceDN w:val="0"/>
        <w:adjustRightInd w:val="0"/>
        <w:spacing w:after="0" w:line="252"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ind w:left="20" w:right="20"/>
        <w:jc w:val="both"/>
        <w:rPr>
          <w:rFonts w:ascii="Times New Roman" w:hAnsi="Times New Roman"/>
          <w:sz w:val="24"/>
          <w:szCs w:val="24"/>
          <w:lang w:val="en-US"/>
        </w:rPr>
      </w:pPr>
      <w:r>
        <w:rPr>
          <w:rFonts w:ascii="Arial" w:eastAsia="Arial" w:hAnsi="Arial" w:cs="Arial"/>
          <w:color w:val="1F1A17"/>
          <w:sz w:val="20"/>
          <w:szCs w:val="20"/>
        </w:rPr>
        <w:t xml:space="preserve">Kablosuz </w:t>
      </w:r>
      <w:r w:rsidR="006B0D54">
        <w:rPr>
          <w:rFonts w:ascii="Arial" w:eastAsia="Arial" w:hAnsi="Arial" w:cs="Arial"/>
          <w:color w:val="1F1A17"/>
          <w:sz w:val="20"/>
          <w:szCs w:val="20"/>
        </w:rPr>
        <w:t>internet ve</w:t>
      </w:r>
      <w:r>
        <w:rPr>
          <w:rFonts w:ascii="Arial" w:eastAsia="Arial" w:hAnsi="Arial" w:cs="Arial"/>
          <w:color w:val="1F1A17"/>
          <w:sz w:val="20"/>
          <w:szCs w:val="20"/>
        </w:rPr>
        <w:t xml:space="preserve"> üçüncü nesil telekomünikasyon (3G) hizmetlerinin kullanımındaki yüksek ilgi ve ekonominin sürdürülebilir büyümesi nedeniyle son yıllarda dizüstü satışlarında kayda değer bir artış olmuştur. Ekonomik İstihbarat Birimi'nin raporuna göre, gelişmiş ülkelerle kıyaslandığında Türkiye halen yaklaşık %49 oranında bir internet kullanıcı oranına sahiptir, bu oran Türkiye'yi İtalya, Bulgaristan ve Romanya gibi diğer ülkelerdeki oranlara yaklaştırmaktadır. Nüfus yaş grupları 15 ila 44 teknoloji ürün ve aksesuarlarının tüketimi açısından</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pgSz w:w="12420" w:h="16180"/>
          <w:pgMar w:top="1440" w:right="1100" w:bottom="320" w:left="3360" w:header="708" w:footer="708" w:gutter="0"/>
          <w:cols w:space="708" w:equalWidth="0">
            <w:col w:w="796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336"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pPr>
      <w:r>
        <w:rPr>
          <w:rFonts w:ascii="Arial" w:eastAsia="Arial" w:hAnsi="Arial" w:cs="Arial"/>
          <w:color w:val="1F1A17"/>
          <w:sz w:val="17"/>
          <w:szCs w:val="17"/>
        </w:rPr>
        <w:t xml:space="preserve">HİNDİSTAN-TÜRKİYE Ticari ve Ekonomik İlişkiler: Gelecekten Beklentiler </w:t>
      </w:r>
    </w:p>
    <w:p w:rsidR="00493D0A" w:rsidRPr="0087022D" w:rsidP="00493D0A">
      <w:pPr>
        <w:widowControl w:val="0"/>
        <w:autoSpaceDE w:val="0"/>
        <w:autoSpaceDN w:val="0"/>
        <w:adjustRightInd w:val="0"/>
        <w:spacing w:after="0" w:line="240" w:lineRule="auto"/>
        <w:rPr>
          <w:rFonts w:ascii="Times New Roman" w:hAnsi="Times New Roman"/>
          <w:sz w:val="24"/>
          <w:szCs w:val="24"/>
          <w:lang w:val="en-US"/>
        </w:rPr>
        <w:sectPr>
          <w:type w:val="continuous"/>
          <w:pgSz w:w="12420" w:h="16180"/>
          <w:pgMar w:top="1440" w:right="4980" w:bottom="320" w:left="1440" w:header="708" w:footer="708" w:gutter="0"/>
          <w:cols w:space="708" w:equalWidth="0">
            <w:col w:w="6000"/>
          </w:cols>
          <w:noEndnote/>
        </w:sect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r>
        <w:rPr>
          <w:noProof/>
          <w:lang w:val="en-US"/>
        </w:rPr>
        <w:drawing>
          <wp:anchor distT="0" distB="0" distL="114300" distR="114300" simplePos="0" relativeHeight="251704320" behindDoc="1" locked="0" layoutInCell="0" allowOverlap="1">
            <wp:simplePos x="0" y="0"/>
            <wp:positionH relativeFrom="page">
              <wp:posOffset>0</wp:posOffset>
            </wp:positionH>
            <wp:positionV relativeFrom="page">
              <wp:posOffset>0</wp:posOffset>
            </wp:positionV>
            <wp:extent cx="7880350" cy="9446895"/>
            <wp:effectExtent l="0" t="0" r="0" b="0"/>
            <wp:wrapNone/>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686" name="Picture 187"/>
                    <pic:cNvPicPr>
                      <a:picLocks noChangeAspect="1" noChangeArrowheads="1"/>
                    </pic:cNvPicPr>
                  </pic:nvPicPr>
                  <pic:blipFill>
                    <a:blip xmlns:r="http://schemas.openxmlformats.org/officeDocument/2006/relationships" r:embed="rId6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00" w:lineRule="exact"/>
        <w:rPr>
          <w:rFonts w:ascii="Times New Roman" w:hAnsi="Times New Roman"/>
          <w:sz w:val="24"/>
          <w:szCs w:val="24"/>
          <w:lang w:val="en-US"/>
        </w:rPr>
      </w:pPr>
    </w:p>
    <w:p w:rsidR="00493D0A" w:rsidRPr="0087022D" w:rsidP="00493D0A">
      <w:pPr>
        <w:widowControl w:val="0"/>
        <w:autoSpaceDE w:val="0"/>
        <w:autoSpaceDN w:val="0"/>
        <w:adjustRightInd w:val="0"/>
        <w:spacing w:after="0" w:line="229"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84" w:lineRule="auto"/>
        <w:jc w:val="both"/>
        <w:rPr>
          <w:rFonts w:ascii="Times New Roman" w:hAnsi="Times New Roman"/>
          <w:sz w:val="24"/>
          <w:szCs w:val="24"/>
          <w:lang w:val="en-US"/>
        </w:rPr>
      </w:pPr>
      <w:r>
        <w:rPr>
          <w:rFonts w:ascii="Arial" w:eastAsia="Arial" w:hAnsi="Arial" w:cs="Arial"/>
          <w:color w:val="1F1A17"/>
          <w:sz w:val="20"/>
          <w:szCs w:val="20"/>
        </w:rPr>
        <w:t>yüksek bir potansiyele sahiptir.  Buna göre, Anadolu kentlerinde bilgisayar satışındaki büyüme son yıllarda kayda değer olmuştur.</w:t>
      </w:r>
    </w:p>
    <w:p w:rsidR="00493D0A" w:rsidRPr="0087022D" w:rsidP="00493D0A">
      <w:pPr>
        <w:widowControl w:val="0"/>
        <w:autoSpaceDE w:val="0"/>
        <w:autoSpaceDN w:val="0"/>
        <w:adjustRightInd w:val="0"/>
        <w:spacing w:after="0" w:line="211"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5" w:lineRule="auto"/>
        <w:ind w:firstLine="1"/>
        <w:jc w:val="both"/>
        <w:rPr>
          <w:rFonts w:ascii="Times New Roman" w:hAnsi="Times New Roman"/>
          <w:sz w:val="24"/>
          <w:szCs w:val="24"/>
          <w:lang w:val="en-US"/>
        </w:rPr>
      </w:pPr>
      <w:r>
        <w:rPr>
          <w:rFonts w:ascii="Arial" w:eastAsia="Arial" w:hAnsi="Arial" w:cs="Arial"/>
          <w:color w:val="1F1A17"/>
          <w:sz w:val="20"/>
          <w:szCs w:val="20"/>
        </w:rPr>
        <w:t xml:space="preserve"> BT</w:t>
      </w:r>
      <w:r w:rsidR="00AD19CB">
        <w:rPr>
          <w:rFonts w:ascii="Arial" w:eastAsia="Arial" w:hAnsi="Arial" w:cs="Arial"/>
          <w:color w:val="1F1A17"/>
          <w:sz w:val="20"/>
          <w:szCs w:val="20"/>
        </w:rPr>
        <w:t xml:space="preserve"> (Bilişim Teknolojisi)</w:t>
      </w:r>
      <w:r>
        <w:rPr>
          <w:rFonts w:ascii="Arial" w:eastAsia="Arial" w:hAnsi="Arial" w:cs="Arial"/>
          <w:color w:val="1F1A17"/>
          <w:sz w:val="20"/>
          <w:szCs w:val="20"/>
        </w:rPr>
        <w:t xml:space="preserve"> piyasasının hem kamu hem de özel sektör yatırımların desteklediği büyümesini devam ettirmesi bekleniyor. Şu anda, finans ve kamu sektörleri BT hizmet harcamaları açısından en üst iki ana sektördür. Türkiye'nin BT ekipmanlarının imalat kapasitesi mütevazıdır ve yazılım büyük ölçüde ithal edilmektedir. Yerel üretim faaliyeti montaj ile sınırlıdır.  Toplam piyasada yazılımın mevcut hissesi %15'tir, ki bu da dünya ortalamalarının oldukça altındadır. BT sektörü stratejik büyümesini yazılımda görmektedir. 2008 yılında, kayıtlı yazılım ihracatının toplam değeri yaklaşık 250 milyon USD'dir. Bu rakam, ancak, sektör ihracatının gerçek değerini yansıtmamaktadır, çünkü yazılım ürünleri genellikle makine, elektronik, elektronik makine, mühendislik, tıbbi malzeme, vs. gibi diğer ürün ve hizmetlerden ayrıdır. Türk yapımı yazılımın ana ihracat pazarları ABD, Almanya, Irak, Kazakistan, Hollanda, Ukrayna ve Yunanistan’dır.</w:t>
      </w:r>
    </w:p>
    <w:p w:rsidR="00493D0A" w:rsidRPr="0087022D" w:rsidP="00493D0A">
      <w:pPr>
        <w:widowControl w:val="0"/>
        <w:autoSpaceDE w:val="0"/>
        <w:autoSpaceDN w:val="0"/>
        <w:adjustRightInd w:val="0"/>
        <w:spacing w:after="0" w:line="232"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pPr>
      <w:r>
        <w:rPr>
          <w:rFonts w:ascii="Arial" w:eastAsia="Arial" w:hAnsi="Arial" w:cs="Arial"/>
          <w:color w:val="1F1A17"/>
          <w:sz w:val="20"/>
          <w:szCs w:val="20"/>
        </w:rPr>
        <w:t xml:space="preserve">Önemli bir gelişme, 6 Ağustos 2010'da </w:t>
      </w:r>
      <w:r w:rsidR="006B0D54">
        <w:rPr>
          <w:rFonts w:ascii="Arial" w:eastAsia="Arial" w:hAnsi="Arial" w:cs="Arial"/>
          <w:color w:val="1F1A17"/>
          <w:sz w:val="20"/>
          <w:szCs w:val="20"/>
        </w:rPr>
        <w:t>2,4</w:t>
      </w:r>
      <w:r>
        <w:rPr>
          <w:rFonts w:ascii="Arial" w:eastAsia="Arial" w:hAnsi="Arial" w:cs="Arial"/>
          <w:color w:val="1F1A17"/>
          <w:sz w:val="20"/>
          <w:szCs w:val="20"/>
        </w:rPr>
        <w:t xml:space="preserve"> masa üstü bilgisayarları üretmek için Türkiye'nin batısında bir Foxconn fabrikasının açılması olmuştur. Çin merkezli bir Hewlet-Packard (HP), Foxconn 60 milyon USD yatırım </w:t>
      </w:r>
      <w:r w:rsidR="006B0D54">
        <w:rPr>
          <w:rFonts w:ascii="Arial" w:eastAsia="Arial" w:hAnsi="Arial" w:cs="Arial"/>
          <w:color w:val="1F1A17"/>
          <w:sz w:val="20"/>
          <w:szCs w:val="20"/>
        </w:rPr>
        <w:t>ile</w:t>
      </w:r>
      <w:r>
        <w:rPr>
          <w:rFonts w:ascii="Arial" w:eastAsia="Arial" w:hAnsi="Arial" w:cs="Arial"/>
          <w:color w:val="1F1A17"/>
          <w:sz w:val="20"/>
          <w:szCs w:val="20"/>
        </w:rPr>
        <w:t xml:space="preserve"> İstanbul'un 200 km batısında Trakya'da, Çorlu sanayi kentinde fabrikayı açmıştır. Ürünler hem iç piyasa hem de ihracat içindir. 2009 yılında, San Jose, Kaliforniya merkezli güvenli elektronik ödeme sistemleri şirketi Verifone açıklanmayan bir toplam için Türk Bilişim şirketleri Teknosis ve Lipman Elektronik'i satın almıştır.</w:t>
      </w:r>
    </w:p>
    <w:p w:rsidR="00493D0A" w:rsidRPr="0087022D" w:rsidP="00493D0A">
      <w:pPr>
        <w:widowControl w:val="0"/>
        <w:autoSpaceDE w:val="0"/>
        <w:autoSpaceDN w:val="0"/>
        <w:adjustRightInd w:val="0"/>
        <w:spacing w:after="0" w:line="223"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8" w:lineRule="auto"/>
        <w:jc w:val="both"/>
        <w:rPr>
          <w:rFonts w:ascii="Times New Roman" w:hAnsi="Times New Roman"/>
          <w:sz w:val="24"/>
          <w:szCs w:val="24"/>
          <w:lang w:val="en-US"/>
        </w:rPr>
      </w:pPr>
      <w:r>
        <w:rPr>
          <w:rFonts w:ascii="Arial" w:eastAsia="Arial" w:hAnsi="Arial" w:cs="Arial"/>
          <w:color w:val="1F1A17"/>
          <w:sz w:val="20"/>
          <w:szCs w:val="20"/>
        </w:rPr>
        <w:t xml:space="preserve">Türk BİT piyasası önümüzdeki dönemlerde daha güçlü ve daha küresel aktörler tarafından şekillenecektir. Türk Telekom'un yanı sıra Oger Telekom ve Vodafone da </w:t>
      </w:r>
      <w:r w:rsidR="006B0D54">
        <w:rPr>
          <w:rFonts w:ascii="Arial" w:eastAsia="Arial" w:hAnsi="Arial" w:cs="Arial"/>
          <w:color w:val="1F1A17"/>
          <w:sz w:val="20"/>
          <w:szCs w:val="20"/>
        </w:rPr>
        <w:t>dâhil</w:t>
      </w:r>
      <w:r>
        <w:rPr>
          <w:rFonts w:ascii="Arial" w:eastAsia="Arial" w:hAnsi="Arial" w:cs="Arial"/>
          <w:color w:val="1F1A17"/>
          <w:sz w:val="20"/>
          <w:szCs w:val="20"/>
        </w:rPr>
        <w:t xml:space="preserve"> olmak üzere 2005 yılında tüm yeni girişimciler, önümüzdeki birkaç yıl için yatırım planlarını önemli miktarda açıklamışlardır.</w:t>
      </w:r>
    </w:p>
    <w:p w:rsidR="00493D0A" w:rsidRPr="0087022D" w:rsidP="00493D0A">
      <w:pPr>
        <w:widowControl w:val="0"/>
        <w:autoSpaceDE w:val="0"/>
        <w:autoSpaceDN w:val="0"/>
        <w:adjustRightInd w:val="0"/>
        <w:spacing w:after="0" w:line="218" w:lineRule="exact"/>
        <w:rPr>
          <w:rFonts w:ascii="Times New Roman" w:hAnsi="Times New Roman"/>
          <w:sz w:val="24"/>
          <w:szCs w:val="24"/>
          <w:lang w:val="en-US"/>
        </w:rPr>
      </w:pPr>
    </w:p>
    <w:p w:rsidR="00493D0A" w:rsidRPr="0087022D" w:rsidP="00493D0A">
      <w:pPr>
        <w:widowControl w:val="0"/>
        <w:overflowPunct w:val="0"/>
        <w:autoSpaceDE w:val="0"/>
        <w:autoSpaceDN w:val="0"/>
        <w:adjustRightInd w:val="0"/>
        <w:spacing w:after="0" w:line="276" w:lineRule="auto"/>
        <w:jc w:val="both"/>
        <w:rPr>
          <w:rFonts w:ascii="Times New Roman" w:hAnsi="Times New Roman"/>
          <w:sz w:val="24"/>
          <w:szCs w:val="24"/>
          <w:lang w:val="en-US"/>
        </w:rPr>
        <w:sectPr>
          <w:pgSz w:w="12420" w:h="16180"/>
          <w:pgMar w:top="1440" w:right="1120" w:bottom="320" w:left="3380" w:header="708" w:footer="708" w:gutter="0"/>
          <w:cols w:space="708" w:equalWidth="0">
            <w:col w:w="7920"/>
          </w:cols>
          <w:noEndnote/>
        </w:sectPr>
      </w:pPr>
      <w:r>
        <w:rPr>
          <w:rFonts w:ascii="Arial" w:eastAsia="Arial" w:hAnsi="Arial" w:cs="Arial"/>
          <w:color w:val="1F1A17"/>
          <w:sz w:val="20"/>
          <w:szCs w:val="20"/>
        </w:rPr>
        <w:t xml:space="preserve"> Sektör çok doymuş olmaktan uzaktır. Türkiye'de sabit hat telefon hizmetlerinde %26 penetrasyon oranı Avrupa'nın en düşük oranlarından biridir. 2007 yılsonu itibarıyla internet penetrasyon oranı %25.3'tür ve bu da düşük bir orandır. Türkiye, 2003'ten 2004'e ve sonrasında geniş bant hatlarında iki katına çıkmasına rağmen, hala çoğu Avrupa ülkesinin oldukça gerisindedir. 2009 yılında 3G tanıtımı ile telekomünikasyon hizmet yelpazesi, geniş bant iletişim hizmetleri, Wi-Fi, Wimax ve katma değerli hizmetleri kapsayacak şekilde büyük ölçüde çeşitlenmiştir. Deregülasyon ve ticarileşme faaliyetlerinde süren ilerleme göz önünde bulundurulursa, Türk kablosuz piyasası, ihracatçıları ve mevcut ve yeni aktörler için fırsatlar sunarak, büyüme için geniş yer sağlamaktadır.</w:t>
      </w: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00" w:lineRule="exact"/>
        <w:rPr>
          <w:rFonts w:ascii="Times New Roman" w:hAnsi="Times New Roman"/>
          <w:sz w:val="24"/>
          <w:szCs w:val="24"/>
        </w:rPr>
      </w:pPr>
    </w:p>
    <w:p w:rsidR="00CD158B">
      <w:pPr>
        <w:widowControl w:val="0"/>
        <w:autoSpaceDE w:val="0"/>
        <w:autoSpaceDN w:val="0"/>
        <w:adjustRightInd w:val="0"/>
        <w:spacing w:after="0" w:line="229" w:lineRule="exact"/>
        <w:rPr>
          <w:rFonts w:ascii="Times New Roman" w:hAnsi="Times New Roman"/>
          <w:sz w:val="24"/>
          <w:szCs w:val="24"/>
        </w:rPr>
      </w:pPr>
    </w:p>
    <w:p w:rsidR="00CD158B" w:rsidRPr="007F441D">
      <w:pPr>
        <w:widowControl w:val="0"/>
        <w:overflowPunct w:val="0"/>
        <w:autoSpaceDE w:val="0"/>
        <w:autoSpaceDN w:val="0"/>
        <w:adjustRightInd w:val="0"/>
        <w:spacing w:after="0" w:line="276" w:lineRule="auto"/>
        <w:jc w:val="both"/>
        <w:rPr>
          <w:rFonts w:ascii="Times New Roman" w:hAnsi="Times New Roman"/>
          <w:sz w:val="24"/>
          <w:szCs w:val="24"/>
        </w:rPr>
      </w:pPr>
      <w:r w:rsidRPr="007F441D">
        <w:rPr>
          <w:rFonts w:ascii="Arial" w:hAnsi="Arial" w:cs="Arial"/>
          <w:color w:val="1F1A17"/>
        </w:rPr>
        <w:t>AB’ye yakınlaşmanın b</w:t>
      </w:r>
      <w:r>
        <w:rPr>
          <w:rFonts w:ascii="Arial" w:hAnsi="Arial" w:cs="Arial"/>
          <w:color w:val="1F1A17"/>
        </w:rPr>
        <w:t xml:space="preserve">ir parçası olarak hayata geçen </w:t>
      </w:r>
      <w:r w:rsidRPr="007F441D" w:rsidR="00303E99">
        <w:rPr>
          <w:rFonts w:ascii="Arial" w:hAnsi="Arial" w:cs="Arial"/>
          <w:color w:val="1F1A17"/>
        </w:rPr>
        <w:t>Türkiye E-Dön</w:t>
      </w:r>
      <w:r>
        <w:rPr>
          <w:rFonts w:ascii="Arial" w:hAnsi="Arial" w:cs="Arial"/>
          <w:color w:val="1F1A17"/>
        </w:rPr>
        <w:t xml:space="preserve">üşüm ve e-devlet projeleri ile </w:t>
      </w:r>
      <w:r w:rsidRPr="007F441D" w:rsidR="007F441D">
        <w:rPr>
          <w:rFonts w:ascii="Arial" w:hAnsi="Arial" w:cs="Arial"/>
          <w:color w:val="1F1A17"/>
        </w:rPr>
        <w:t>BİT şirketleri için kazançlı</w:t>
      </w:r>
      <w:r>
        <w:rPr>
          <w:rFonts w:ascii="Arial" w:hAnsi="Arial" w:cs="Arial"/>
          <w:color w:val="1F1A17"/>
        </w:rPr>
        <w:t xml:space="preserve"> bir talep doğuracak</w:t>
      </w:r>
      <w:r w:rsidRPr="007F441D" w:rsidR="00303E99">
        <w:rPr>
          <w:rFonts w:ascii="Arial" w:hAnsi="Arial" w:cs="Arial"/>
          <w:color w:val="1F1A17"/>
        </w:rPr>
        <w:t xml:space="preserve">, bu da yüksek bütçeli, yaratıcı içeriğe sahip ve internet destekli e-devlet projelerinin önünü açacaktır. </w:t>
      </w:r>
      <w:r w:rsidRPr="007F441D" w:rsidR="007F441D">
        <w:rPr>
          <w:rFonts w:ascii="Arial" w:hAnsi="Arial" w:cs="Arial"/>
          <w:color w:val="1F1A17"/>
        </w:rPr>
        <w:t xml:space="preserve">Cisco’nun yatırım planlarının değeri 275 milyon dolardır ve 2006 Eylül’ünde açıklanmıştır, içeriğinde Türkiye’nin de dönüşümüne destek olmak –ağ teknolojisi ve prototipler ile kırsal bölgelerdeki pilot eğitim programlarına destek olup, küçük ve orta ölçekli işletmeler, belediyeler ve yerel topluluklar için ulaşabilirlik sağlamak da </w:t>
      </w:r>
      <w:r>
        <w:rPr>
          <w:rFonts w:ascii="Arial" w:hAnsi="Arial" w:cs="Arial"/>
          <w:color w:val="1F1A17"/>
        </w:rPr>
        <w:t>dâ</w:t>
      </w:r>
      <w:r w:rsidRPr="007F441D" w:rsidR="007F441D">
        <w:rPr>
          <w:rFonts w:ascii="Arial" w:hAnsi="Arial" w:cs="Arial"/>
          <w:color w:val="1F1A17"/>
        </w:rPr>
        <w:t xml:space="preserve">hildir. </w:t>
      </w:r>
    </w:p>
    <w:p w:rsidR="00CD158B" w:rsidRPr="006C5A81">
      <w:pPr>
        <w:widowControl w:val="0"/>
        <w:autoSpaceDE w:val="0"/>
        <w:autoSpaceDN w:val="0"/>
        <w:adjustRightInd w:val="0"/>
        <w:spacing w:after="0" w:line="222" w:lineRule="exact"/>
        <w:rPr>
          <w:rFonts w:ascii="Times New Roman" w:hAnsi="Times New Roman"/>
          <w:sz w:val="24"/>
          <w:szCs w:val="24"/>
          <w:highlight w:val="yellow"/>
        </w:rPr>
      </w:pPr>
    </w:p>
    <w:p w:rsidR="00CD158B" w:rsidRPr="009C2E71">
      <w:pPr>
        <w:widowControl w:val="0"/>
        <w:overflowPunct w:val="0"/>
        <w:autoSpaceDE w:val="0"/>
        <w:autoSpaceDN w:val="0"/>
        <w:adjustRightInd w:val="0"/>
        <w:spacing w:after="0" w:line="276" w:lineRule="auto"/>
        <w:jc w:val="both"/>
        <w:rPr>
          <w:rFonts w:ascii="Times New Roman" w:hAnsi="Times New Roman"/>
          <w:sz w:val="24"/>
          <w:szCs w:val="24"/>
        </w:rPr>
      </w:pPr>
      <w:r w:rsidRPr="009C2E71">
        <w:rPr>
          <w:rFonts w:ascii="Arial" w:hAnsi="Arial" w:cs="Arial"/>
          <w:color w:val="1F1A17"/>
        </w:rPr>
        <w:t xml:space="preserve">Yazılım ihracatı alanında Türkiye’nin önünde uzun vadeli seçenekler var. BT sektörü yazılımı ihracattaki stratejik büyüme kolu olarak değerlendiriyor ve </w:t>
      </w:r>
      <w:r w:rsidRPr="009C2E71" w:rsidR="00115A7B">
        <w:rPr>
          <w:rFonts w:ascii="Arial" w:hAnsi="Arial" w:cs="Arial"/>
          <w:color w:val="1F1A17"/>
        </w:rPr>
        <w:t>birçok</w:t>
      </w:r>
      <w:r w:rsidRPr="009C2E71">
        <w:rPr>
          <w:rFonts w:ascii="Arial" w:hAnsi="Arial" w:cs="Arial"/>
          <w:color w:val="1F1A17"/>
        </w:rPr>
        <w:t xml:space="preserve"> Türk yazılım şirketi de COBIT, ITIL, İSO 15504, SPICE ve CMMI sertifikalarını alma yolunda ilerliyor. Silikon Vadisi </w:t>
      </w:r>
      <w:r w:rsidRPr="009C2E71" w:rsidR="00115A7B">
        <w:rPr>
          <w:rFonts w:ascii="Arial" w:hAnsi="Arial" w:cs="Arial"/>
          <w:color w:val="1F1A17"/>
        </w:rPr>
        <w:t>Projesi</w:t>
      </w:r>
      <w:r w:rsidR="00115A7B">
        <w:rPr>
          <w:rFonts w:ascii="Arial" w:hAnsi="Arial" w:cs="Arial"/>
          <w:color w:val="1F1A17"/>
        </w:rPr>
        <w:t>,</w:t>
      </w:r>
      <w:r w:rsidRPr="009C2E71">
        <w:rPr>
          <w:rFonts w:ascii="Arial" w:hAnsi="Arial" w:cs="Arial"/>
          <w:color w:val="1F1A17"/>
        </w:rPr>
        <w:t xml:space="preserve"> ki Endüstri Bakanlığı bünyesinde faaliyete geçmiştir, bu çabalara destek olacaktır. Aynı zamanda 2006’nın ortalarında Oracle, Orta Doğu ve Afrika bölgesi yazılım gereksinimlerine cevap verebilmek için “İstanbul ISV Migration Center”i açmıştır. YASAD (Yazıl</w:t>
      </w:r>
      <w:r w:rsidR="006B0D54">
        <w:rPr>
          <w:rFonts w:ascii="Arial" w:hAnsi="Arial" w:cs="Arial"/>
          <w:color w:val="1F1A17"/>
        </w:rPr>
        <w:t>ım Sanayicileri Derneği) gelecek</w:t>
      </w:r>
      <w:r w:rsidRPr="009C2E71">
        <w:rPr>
          <w:rFonts w:ascii="Arial" w:hAnsi="Arial" w:cs="Arial"/>
          <w:color w:val="1F1A17"/>
        </w:rPr>
        <w:t xml:space="preserve"> beş yıldaki yazılım ihracatı hedefini 2 milyar dolar olarak belirlemiştir.</w:t>
      </w:r>
    </w:p>
    <w:p w:rsidR="00CD158B" w:rsidRPr="006C5A81">
      <w:pPr>
        <w:widowControl w:val="0"/>
        <w:autoSpaceDE w:val="0"/>
        <w:autoSpaceDN w:val="0"/>
        <w:adjustRightInd w:val="0"/>
        <w:spacing w:after="0" w:line="222" w:lineRule="exact"/>
        <w:rPr>
          <w:rFonts w:ascii="Times New Roman" w:hAnsi="Times New Roman"/>
          <w:sz w:val="24"/>
          <w:szCs w:val="24"/>
          <w:highlight w:val="yellow"/>
        </w:rPr>
      </w:pPr>
    </w:p>
    <w:p w:rsidR="00CD158B" w:rsidRPr="0080419D">
      <w:pPr>
        <w:widowControl w:val="0"/>
        <w:overflowPunct w:val="0"/>
        <w:autoSpaceDE w:val="0"/>
        <w:autoSpaceDN w:val="0"/>
        <w:adjustRightInd w:val="0"/>
        <w:spacing w:after="0" w:line="278" w:lineRule="auto"/>
        <w:jc w:val="both"/>
        <w:rPr>
          <w:rFonts w:ascii="Times New Roman" w:hAnsi="Times New Roman"/>
          <w:sz w:val="24"/>
          <w:szCs w:val="24"/>
        </w:rPr>
      </w:pPr>
      <w:r w:rsidRPr="0080419D">
        <w:rPr>
          <w:rFonts w:ascii="Arial" w:hAnsi="Arial" w:cs="Arial"/>
          <w:color w:val="1F1A17"/>
        </w:rPr>
        <w:t>Bunların yanında yerel şirketlerin art</w:t>
      </w:r>
      <w:r w:rsidRPr="0080419D" w:rsidR="0080419D">
        <w:rPr>
          <w:rFonts w:ascii="Arial" w:hAnsi="Arial" w:cs="Arial"/>
          <w:color w:val="1F1A17"/>
        </w:rPr>
        <w:t xml:space="preserve">an talepleri ile Türkiye, Avrupa’dan gelen çağrılar da </w:t>
      </w:r>
      <w:r w:rsidRPr="0080419D" w:rsidR="006B0D54">
        <w:rPr>
          <w:rFonts w:ascii="Arial" w:hAnsi="Arial" w:cs="Arial"/>
          <w:color w:val="1F1A17"/>
        </w:rPr>
        <w:t>dâhil</w:t>
      </w:r>
      <w:r w:rsidRPr="0080419D" w:rsidR="0080419D">
        <w:rPr>
          <w:rFonts w:ascii="Arial" w:hAnsi="Arial" w:cs="Arial"/>
          <w:color w:val="1F1A17"/>
        </w:rPr>
        <w:t xml:space="preserve"> olmak üzere yabancılara, </w:t>
      </w:r>
      <w:r w:rsidR="0080419D">
        <w:rPr>
          <w:rFonts w:ascii="Arial" w:hAnsi="Arial" w:cs="Arial"/>
          <w:color w:val="1F1A17"/>
        </w:rPr>
        <w:t>hizmetservislerini</w:t>
      </w:r>
      <w:r w:rsidRPr="0080419D" w:rsidR="0080419D">
        <w:rPr>
          <w:rFonts w:ascii="Arial" w:hAnsi="Arial" w:cs="Arial"/>
          <w:color w:val="1F1A17"/>
        </w:rPr>
        <w:t xml:space="preserve"> taşeron olarak da sağlayabilecek bir yer olmasını sağlayacak güçlere sahiptir. Smile, Darty, Bimeks, Vatan Bilgisayar ve Teknosa gibi teknoloji süpermarketlerinin büyümesi perakende satışlara da hız vermektedir.</w:t>
      </w:r>
    </w:p>
    <w:p w:rsidR="00CD158B" w:rsidRPr="006C5A81">
      <w:pPr>
        <w:widowControl w:val="0"/>
        <w:autoSpaceDE w:val="0"/>
        <w:autoSpaceDN w:val="0"/>
        <w:adjustRightInd w:val="0"/>
        <w:spacing w:after="0" w:line="180" w:lineRule="exact"/>
        <w:rPr>
          <w:rFonts w:ascii="Times New Roman" w:hAnsi="Times New Roman"/>
          <w:sz w:val="24"/>
          <w:szCs w:val="24"/>
          <w:highlight w:val="yellow"/>
        </w:rPr>
      </w:pPr>
    </w:p>
    <w:p w:rsidR="00CD158B" w:rsidRPr="0080419D">
      <w:pPr>
        <w:widowControl w:val="0"/>
        <w:autoSpaceDE w:val="0"/>
        <w:autoSpaceDN w:val="0"/>
        <w:adjustRightInd w:val="0"/>
        <w:spacing w:after="0" w:line="240" w:lineRule="auto"/>
        <w:rPr>
          <w:rFonts w:ascii="Times New Roman" w:hAnsi="Times New Roman"/>
          <w:sz w:val="24"/>
          <w:szCs w:val="24"/>
        </w:rPr>
      </w:pPr>
      <w:r>
        <w:rPr>
          <w:rFonts w:ascii="Arial" w:hAnsi="Arial" w:cs="Arial"/>
          <w:color w:val="E87817"/>
          <w:sz w:val="26"/>
          <w:szCs w:val="26"/>
        </w:rPr>
        <w:t>Hindistan</w:t>
      </w:r>
    </w:p>
    <w:p w:rsidR="00CD158B" w:rsidRPr="006C5A81">
      <w:pPr>
        <w:widowControl w:val="0"/>
        <w:autoSpaceDE w:val="0"/>
        <w:autoSpaceDN w:val="0"/>
        <w:adjustRightInd w:val="0"/>
        <w:spacing w:after="0" w:line="259" w:lineRule="exact"/>
        <w:rPr>
          <w:rFonts w:ascii="Times New Roman" w:hAnsi="Times New Roman"/>
          <w:sz w:val="24"/>
          <w:szCs w:val="24"/>
          <w:highlight w:val="yellow"/>
        </w:rPr>
      </w:pPr>
    </w:p>
    <w:p w:rsidR="00CD158B" w:rsidRPr="0080419D">
      <w:pPr>
        <w:widowControl w:val="0"/>
        <w:overflowPunct w:val="0"/>
        <w:autoSpaceDE w:val="0"/>
        <w:autoSpaceDN w:val="0"/>
        <w:adjustRightInd w:val="0"/>
        <w:spacing w:after="0" w:line="277" w:lineRule="auto"/>
        <w:jc w:val="both"/>
        <w:rPr>
          <w:rFonts w:ascii="Times New Roman" w:hAnsi="Times New Roman"/>
          <w:sz w:val="24"/>
          <w:szCs w:val="24"/>
        </w:rPr>
      </w:pPr>
      <w:r w:rsidRPr="0080419D">
        <w:rPr>
          <w:rFonts w:ascii="Arial" w:hAnsi="Arial" w:cs="Arial"/>
          <w:color w:val="1F1A17"/>
        </w:rPr>
        <w:t>Ticaret ve BT Bakanlığının verilerine göre 2010 yılında küresel taşeron pazarının %55’ini elinde bulundurarak, BT ve BTEH taşeronluğunda Hindistan küresel ölçekte bir numaralı adres olarak görülüyor. Hindistan’ın BT endüstrisi (donanımı da kapsayacak şekilde) küresel pazarında %7’sini kapsamakla birlikte büyüme de büyük ölçüde ihracat ile sağlıyor. BTEH sektörü kendi içinde BT donanımları, yazılımları ve hizmetlerini de içeriyor.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F85F87">
      <w:pPr>
        <w:widowControl w:val="0"/>
        <w:overflowPunct w:val="0"/>
        <w:autoSpaceDE w:val="0"/>
        <w:autoSpaceDN w:val="0"/>
        <w:adjustRightInd w:val="0"/>
        <w:spacing w:after="0" w:line="279" w:lineRule="auto"/>
        <w:jc w:val="both"/>
        <w:rPr>
          <w:rFonts w:ascii="Times New Roman" w:hAnsi="Times New Roman"/>
          <w:sz w:val="24"/>
          <w:szCs w:val="24"/>
        </w:rPr>
      </w:pPr>
      <w:r w:rsidRPr="00F85F87">
        <w:rPr>
          <w:rFonts w:ascii="Arial" w:hAnsi="Arial" w:cs="Arial"/>
          <w:color w:val="1F1A17"/>
        </w:rPr>
        <w:t>1000’</w:t>
      </w:r>
      <w:r>
        <w:rPr>
          <w:rFonts w:ascii="Arial" w:hAnsi="Arial" w:cs="Arial"/>
          <w:color w:val="1F1A17"/>
        </w:rPr>
        <w:t xml:space="preserve">den fazlası büyük şirketler olan </w:t>
      </w:r>
      <w:r w:rsidRPr="00F85F87" w:rsidR="0080419D">
        <w:rPr>
          <w:rFonts w:ascii="Arial" w:hAnsi="Arial" w:cs="Arial"/>
          <w:color w:val="1F1A17"/>
        </w:rPr>
        <w:t xml:space="preserve">15.000’den fazla şirket </w:t>
      </w:r>
      <w:r w:rsidRPr="00F85F87" w:rsidR="006B0D54">
        <w:rPr>
          <w:rFonts w:ascii="Arial" w:hAnsi="Arial" w:cs="Arial"/>
          <w:color w:val="1F1A17"/>
        </w:rPr>
        <w:t>ile</w:t>
      </w:r>
      <w:r w:rsidRPr="00F85F87" w:rsidR="0080419D">
        <w:rPr>
          <w:rFonts w:ascii="Arial" w:hAnsi="Arial" w:cs="Arial"/>
          <w:color w:val="1F1A17"/>
        </w:rPr>
        <w:t xml:space="preserve"> Hindistan güçlü bir sektöre sahiptir. </w:t>
      </w:r>
      <w:r w:rsidRPr="00F85F87" w:rsidR="00F85F87">
        <w:rPr>
          <w:rFonts w:ascii="Arial" w:hAnsi="Arial" w:cs="Arial"/>
          <w:color w:val="1F1A17"/>
        </w:rPr>
        <w:t>Sektör toplam hizmet ihracatında en büyük paya sahiptir (%38). 78 ülke için 600 off-shore geliştirme merkezi vardır.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6C5A81">
      <w:pPr>
        <w:widowControl w:val="0"/>
        <w:overflowPunct w:val="0"/>
        <w:autoSpaceDE w:val="0"/>
        <w:autoSpaceDN w:val="0"/>
        <w:adjustRightInd w:val="0"/>
        <w:spacing w:after="0" w:line="279" w:lineRule="auto"/>
        <w:jc w:val="both"/>
        <w:rPr>
          <w:rFonts w:ascii="Times New Roman" w:hAnsi="Times New Roman"/>
          <w:sz w:val="24"/>
          <w:szCs w:val="24"/>
          <w:highlight w:val="yellow"/>
        </w:rPr>
      </w:pPr>
      <w:r w:rsidRPr="00F85F87">
        <w:rPr>
          <w:rFonts w:ascii="Arial" w:hAnsi="Arial" w:cs="Arial"/>
          <w:color w:val="1F1A17"/>
        </w:rPr>
        <w:t>Hint BT şirketleri son yıllarda dünya çapında var olan müşterilerine daha iyi hizmet verebilmek için küresel hizmet modeliyle birlikte küresel izlerini arttırmaya başladılar. Endüstri analistleri en büyük BT şirketlerinin 2012 yılında</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77"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237"/>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14" w:name="page92"/>
      <w:bookmarkEnd w:id="14"/>
      <w:r>
        <w:rPr>
          <w:noProof/>
          <w:highlight w:val="yellow"/>
        </w:rPr>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880350" cy="9446895"/>
            <wp:effectExtent l="0" t="0" r="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2166" name="Picture 100"/>
                    <pic:cNvPicPr>
                      <a:picLocks noChangeAspect="1" noChangeArrowheads="1"/>
                    </pic:cNvPicPr>
                  </pic:nvPicPr>
                  <pic:blipFill>
                    <a:blip xmlns:r="http://schemas.openxmlformats.org/officeDocument/2006/relationships" r:embed="rId67">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F85F87" w:rsidRPr="006C5A81" w:rsidP="00F85F87">
      <w:pPr>
        <w:widowControl w:val="0"/>
        <w:overflowPunct w:val="0"/>
        <w:autoSpaceDE w:val="0"/>
        <w:autoSpaceDN w:val="0"/>
        <w:adjustRightInd w:val="0"/>
        <w:spacing w:after="0" w:line="279" w:lineRule="auto"/>
        <w:jc w:val="both"/>
        <w:rPr>
          <w:rFonts w:ascii="Times New Roman" w:hAnsi="Times New Roman"/>
          <w:sz w:val="24"/>
          <w:szCs w:val="24"/>
          <w:highlight w:val="yellow"/>
        </w:rPr>
      </w:pPr>
      <w:r w:rsidRPr="00F85F87">
        <w:rPr>
          <w:rFonts w:ascii="Arial" w:hAnsi="Arial" w:cs="Arial"/>
          <w:color w:val="1F1A17"/>
        </w:rPr>
        <w:t xml:space="preserve">%23 ila %27 arasında, artan ihtiyarı projelere, iyi fiyatlandırmaya ve güçlü iş </w:t>
      </w:r>
      <w:r w:rsidRPr="00F85F87" w:rsidR="006B0D54">
        <w:rPr>
          <w:rFonts w:ascii="Arial" w:hAnsi="Arial" w:cs="Arial"/>
          <w:color w:val="1F1A17"/>
        </w:rPr>
        <w:t>hacmine</w:t>
      </w:r>
      <w:r w:rsidRPr="00F85F87">
        <w:rPr>
          <w:rFonts w:ascii="Arial" w:hAnsi="Arial" w:cs="Arial"/>
          <w:color w:val="1F1A17"/>
        </w:rPr>
        <w:t xml:space="preserve"> bağlı olarak artacağını öngörüyorlar.</w:t>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11" w:lineRule="exact"/>
        <w:rPr>
          <w:rFonts w:ascii="Times New Roman" w:hAnsi="Times New Roman"/>
          <w:sz w:val="24"/>
          <w:szCs w:val="24"/>
          <w:highlight w:val="yellow"/>
        </w:rPr>
      </w:pPr>
    </w:p>
    <w:p w:rsidR="00CD158B" w:rsidRPr="00DC52AB">
      <w:pPr>
        <w:widowControl w:val="0"/>
        <w:overflowPunct w:val="0"/>
        <w:autoSpaceDE w:val="0"/>
        <w:autoSpaceDN w:val="0"/>
        <w:adjustRightInd w:val="0"/>
        <w:spacing w:after="0" w:line="276" w:lineRule="auto"/>
        <w:jc w:val="both"/>
        <w:rPr>
          <w:rFonts w:ascii="Times New Roman" w:hAnsi="Times New Roman"/>
          <w:sz w:val="24"/>
          <w:szCs w:val="24"/>
        </w:rPr>
      </w:pPr>
      <w:r w:rsidRPr="00DC52AB">
        <w:rPr>
          <w:rFonts w:ascii="Arial" w:hAnsi="Arial" w:cs="Arial"/>
          <w:color w:val="1F1A17"/>
        </w:rPr>
        <w:t xml:space="preserve">Hint BT-BST sektörü 2010-2011 yıllarında tahminen toplamda </w:t>
      </w:r>
      <w:r w:rsidRPr="00DC52AB" w:rsidR="006B0D54">
        <w:rPr>
          <w:rFonts w:ascii="Arial" w:hAnsi="Arial" w:cs="Arial"/>
          <w:color w:val="1F1A17"/>
        </w:rPr>
        <w:t>88,1</w:t>
      </w:r>
      <w:r w:rsidRPr="00DC52AB">
        <w:rPr>
          <w:rFonts w:ascii="Arial" w:hAnsi="Arial" w:cs="Arial"/>
          <w:color w:val="1F1A17"/>
        </w:rPr>
        <w:t xml:space="preserve"> milyar dolar kar belirtmiştir, bunlardan BT yazılımı ve hizmetleri sektörünün karı (donanım hariç) </w:t>
      </w:r>
      <w:r w:rsidRPr="00DC52AB" w:rsidR="006B0D54">
        <w:rPr>
          <w:rFonts w:ascii="Arial" w:hAnsi="Arial" w:cs="Arial"/>
          <w:color w:val="1F1A17"/>
        </w:rPr>
        <w:t>76,2</w:t>
      </w:r>
      <w:r w:rsidRPr="00DC52AB">
        <w:rPr>
          <w:rFonts w:ascii="Arial" w:hAnsi="Arial" w:cs="Arial"/>
          <w:color w:val="1F1A17"/>
        </w:rPr>
        <w:t xml:space="preserve"> milyar dolardır. Bu süreçte doğrudan istihdam, 240.000 işçinin de eklenmesi </w:t>
      </w:r>
      <w:r w:rsidRPr="00DC52AB" w:rsidR="006B0D54">
        <w:rPr>
          <w:rFonts w:ascii="Arial" w:hAnsi="Arial" w:cs="Arial"/>
          <w:color w:val="1F1A17"/>
        </w:rPr>
        <w:t>ile</w:t>
      </w:r>
      <w:r w:rsidRPr="00DC52AB">
        <w:rPr>
          <w:rFonts w:ascii="Arial" w:hAnsi="Arial" w:cs="Arial"/>
          <w:color w:val="1F1A17"/>
        </w:rPr>
        <w:t xml:space="preserve"> neredeyse </w:t>
      </w:r>
      <w:r w:rsidRPr="00DC52AB" w:rsidR="006B0D54">
        <w:rPr>
          <w:rFonts w:ascii="Arial" w:hAnsi="Arial" w:cs="Arial"/>
          <w:color w:val="1F1A17"/>
        </w:rPr>
        <w:t>2,5</w:t>
      </w:r>
      <w:r w:rsidRPr="00DC52AB">
        <w:rPr>
          <w:rFonts w:ascii="Arial" w:hAnsi="Arial" w:cs="Arial"/>
          <w:color w:val="1F1A17"/>
        </w:rPr>
        <w:t xml:space="preserve"> milyona ulaşmıştır bunun yanında dolaylı istihdam ise </w:t>
      </w:r>
      <w:r w:rsidRPr="00DC52AB" w:rsidR="006B0D54">
        <w:rPr>
          <w:rFonts w:ascii="Arial" w:hAnsi="Arial" w:cs="Arial"/>
          <w:color w:val="1F1A17"/>
        </w:rPr>
        <w:t>8,3</w:t>
      </w:r>
      <w:r w:rsidRPr="00DC52AB">
        <w:rPr>
          <w:rFonts w:ascii="Arial" w:hAnsi="Arial" w:cs="Arial"/>
          <w:color w:val="1F1A17"/>
        </w:rPr>
        <w:t xml:space="preserve"> milyon olarak tahmin edilmektedir. GSH’ya oranla, 1997-1998 yılları arasında sektörün katkısı %</w:t>
      </w:r>
      <w:r w:rsidRPr="00DC52AB" w:rsidR="006B0D54">
        <w:rPr>
          <w:rFonts w:ascii="Arial" w:hAnsi="Arial" w:cs="Arial"/>
          <w:color w:val="1F1A17"/>
        </w:rPr>
        <w:t>1,2’den</w:t>
      </w:r>
      <w:r w:rsidRPr="00DC52AB">
        <w:rPr>
          <w:rFonts w:ascii="Arial" w:hAnsi="Arial" w:cs="Arial"/>
          <w:color w:val="1F1A17"/>
        </w:rPr>
        <w:t xml:space="preserve"> 2010-2011 yılları arasında tahmini olarak %</w:t>
      </w:r>
      <w:r w:rsidRPr="00DC52AB" w:rsidR="006B0D54">
        <w:rPr>
          <w:rFonts w:ascii="Arial" w:hAnsi="Arial" w:cs="Arial"/>
          <w:color w:val="1F1A17"/>
        </w:rPr>
        <w:t>6,4’e</w:t>
      </w:r>
      <w:r w:rsidRPr="00DC52AB">
        <w:rPr>
          <w:rFonts w:ascii="Arial" w:hAnsi="Arial" w:cs="Arial"/>
          <w:color w:val="1F1A17"/>
        </w:rPr>
        <w:t xml:space="preserve"> yükselmiştir.Toplam Hint ihracatındaki payı (mal artı hizmetler) 1997-1998 arasında %4’ün altında iken, 2010-2011 yılları arasında,</w:t>
      </w:r>
      <w:r w:rsidRPr="00DC52AB" w:rsidR="00DC52AB">
        <w:rPr>
          <w:rFonts w:ascii="Arial" w:hAnsi="Arial" w:cs="Arial"/>
          <w:color w:val="1F1A17"/>
        </w:rPr>
        <w:t xml:space="preserve"> BT sektörü üzerine görevlendirilen çalışma grubunun 12nci 5 Yıllık Plan doğrultusunda (2012-2017) </w:t>
      </w:r>
      <w:r w:rsidRPr="00DC52AB">
        <w:rPr>
          <w:rFonts w:ascii="Arial" w:hAnsi="Arial" w:cs="Arial"/>
          <w:color w:val="1F1A17"/>
        </w:rPr>
        <w:t>%26’ya yükselmiştir.</w:t>
      </w:r>
    </w:p>
    <w:p w:rsidR="00CD158B" w:rsidRPr="006C5A81">
      <w:pPr>
        <w:widowControl w:val="0"/>
        <w:autoSpaceDE w:val="0"/>
        <w:autoSpaceDN w:val="0"/>
        <w:adjustRightInd w:val="0"/>
        <w:spacing w:after="0" w:line="221" w:lineRule="exact"/>
        <w:rPr>
          <w:rFonts w:ascii="Times New Roman" w:hAnsi="Times New Roman"/>
          <w:sz w:val="24"/>
          <w:szCs w:val="24"/>
          <w:highlight w:val="yellow"/>
        </w:rPr>
      </w:pPr>
    </w:p>
    <w:p w:rsidR="00CD158B" w:rsidRPr="006C5A81">
      <w:pPr>
        <w:widowControl w:val="0"/>
        <w:overflowPunct w:val="0"/>
        <w:autoSpaceDE w:val="0"/>
        <w:autoSpaceDN w:val="0"/>
        <w:adjustRightInd w:val="0"/>
        <w:spacing w:after="0" w:line="276" w:lineRule="auto"/>
        <w:jc w:val="both"/>
        <w:rPr>
          <w:rFonts w:ascii="Times New Roman" w:hAnsi="Times New Roman"/>
          <w:sz w:val="24"/>
          <w:szCs w:val="24"/>
          <w:highlight w:val="yellow"/>
        </w:rPr>
      </w:pPr>
      <w:r w:rsidRPr="0075679D">
        <w:rPr>
          <w:rFonts w:ascii="Arial" w:hAnsi="Arial" w:cs="Arial"/>
          <w:color w:val="1F1A17"/>
        </w:rPr>
        <w:t>BT ve BTEH endüstrisinde büyümeyi sağlayan ana kollar maliyet uygunluğu, kullanım katsayıları, dikey pazarlamada çeşitlilik, iş ve fiyatlandırma modellerindeki değişimdir</w:t>
      </w:r>
      <w:r w:rsidRPr="0075679D">
        <w:rPr>
          <w:rFonts w:ascii="Arial" w:hAnsi="Arial" w:cs="Arial"/>
          <w:color w:val="1F1A17"/>
        </w:rPr>
        <w:t>.</w:t>
      </w:r>
      <w:r w:rsidRPr="0075679D">
        <w:rPr>
          <w:rFonts w:ascii="Arial" w:hAnsi="Arial" w:cs="Arial"/>
          <w:color w:val="1F1A17"/>
        </w:rPr>
        <w:t>Off-shore BT ve ofis altyapısı hizmetlerinde şirketler için Hindistan öncelikli seçimdir.</w:t>
      </w:r>
      <w:r w:rsidR="00235963">
        <w:rPr>
          <w:rFonts w:ascii="Arial" w:hAnsi="Arial" w:cs="Arial"/>
          <w:color w:val="1F1A17"/>
        </w:rPr>
        <w:t xml:space="preserve"> Düşük fiyat avantajını koruyarak, sunduğu iş çevreleri ve vasıflı insanları ile finansal olarak çekici bir yer olma özelliğini koruyor. Ayrıca ülke dünyadaki ilk başarılı ihracat ile gelişen yazılım endüstrisi ile tanınıyor.</w:t>
      </w:r>
    </w:p>
    <w:p w:rsidR="00CD158B" w:rsidRPr="006C5A81">
      <w:pPr>
        <w:widowControl w:val="0"/>
        <w:autoSpaceDE w:val="0"/>
        <w:autoSpaceDN w:val="0"/>
        <w:adjustRightInd w:val="0"/>
        <w:spacing w:after="0" w:line="224" w:lineRule="exact"/>
        <w:rPr>
          <w:rFonts w:ascii="Times New Roman" w:hAnsi="Times New Roman"/>
          <w:sz w:val="24"/>
          <w:szCs w:val="24"/>
          <w:highlight w:val="yellow"/>
        </w:rPr>
      </w:pPr>
    </w:p>
    <w:p w:rsidR="00CD158B" w:rsidRPr="00235963">
      <w:pPr>
        <w:widowControl w:val="0"/>
        <w:overflowPunct w:val="0"/>
        <w:autoSpaceDE w:val="0"/>
        <w:autoSpaceDN w:val="0"/>
        <w:adjustRightInd w:val="0"/>
        <w:spacing w:after="0" w:line="278" w:lineRule="auto"/>
        <w:jc w:val="both"/>
        <w:rPr>
          <w:rFonts w:ascii="Times New Roman" w:hAnsi="Times New Roman"/>
          <w:sz w:val="24"/>
          <w:szCs w:val="24"/>
        </w:rPr>
      </w:pPr>
      <w:r w:rsidRPr="00235963">
        <w:rPr>
          <w:rFonts w:ascii="Arial" w:hAnsi="Arial" w:cs="Arial"/>
          <w:color w:val="1F1A17"/>
        </w:rPr>
        <w:t xml:space="preserve">Yazılım ve hizmet ihracatı (BTEH-BST </w:t>
      </w:r>
      <w:r w:rsidRPr="00235963" w:rsidR="006B0D54">
        <w:rPr>
          <w:rFonts w:ascii="Arial" w:hAnsi="Arial" w:cs="Arial"/>
          <w:color w:val="1F1A17"/>
        </w:rPr>
        <w:t>dâhil</w:t>
      </w:r>
      <w:r w:rsidRPr="00235963">
        <w:rPr>
          <w:rFonts w:ascii="Arial" w:hAnsi="Arial" w:cs="Arial"/>
          <w:color w:val="1F1A17"/>
        </w:rPr>
        <w:t>), donanım ihracatı hariç olarak 2010-11 yıllarında, Hindistan’ın birinci BT sektörü topluluğu NASSCOM’a göre tahmini 59 milyar dolar seviyesindedir. Yazılım ve hizmet ihracatı, elektronik ve BT-BTEH endüstrisinin 2010-11 karının neredeyse yarısını oluşturur.</w:t>
      </w:r>
    </w:p>
    <w:p w:rsidR="00CD158B" w:rsidRPr="00CB73F5">
      <w:pPr>
        <w:widowControl w:val="0"/>
        <w:autoSpaceDE w:val="0"/>
        <w:autoSpaceDN w:val="0"/>
        <w:adjustRightInd w:val="0"/>
        <w:spacing w:after="0" w:line="218" w:lineRule="exact"/>
        <w:rPr>
          <w:rFonts w:ascii="Times New Roman" w:hAnsi="Times New Roman"/>
          <w:sz w:val="24"/>
          <w:szCs w:val="24"/>
        </w:rPr>
      </w:pPr>
    </w:p>
    <w:p w:rsidR="00CD158B" w:rsidRPr="00CB73F5">
      <w:pPr>
        <w:widowControl w:val="0"/>
        <w:overflowPunct w:val="0"/>
        <w:autoSpaceDE w:val="0"/>
        <w:autoSpaceDN w:val="0"/>
        <w:adjustRightInd w:val="0"/>
        <w:spacing w:after="0" w:line="277" w:lineRule="auto"/>
        <w:jc w:val="both"/>
        <w:rPr>
          <w:rFonts w:ascii="Times New Roman" w:hAnsi="Times New Roman"/>
          <w:sz w:val="24"/>
          <w:szCs w:val="24"/>
        </w:rPr>
      </w:pPr>
      <w:r w:rsidRPr="00CB73F5">
        <w:rPr>
          <w:rFonts w:ascii="Arial" w:hAnsi="Arial" w:cs="Arial"/>
          <w:color w:val="1F1A17"/>
        </w:rPr>
        <w:t>İletişim ve Bilişim Teknolojileri Bakanlığı’nın (MoC&amp;IT) görevlendirdiği çalışma grubunun hazırladığı rapora göre elektronik donanımlara olan talep 2009 yılındaki 45 milyar dolardan tahmini olarak 2020’de 400 milyar dolara yükselecektir. Çalışma grubu Hindistan’daki BT-BTEH ve elektronik donanım imalat endüstrisinde büyümeyi canlandırma amacıyla kurulmuştur.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CB73F5">
      <w:pPr>
        <w:widowControl w:val="0"/>
        <w:overflowPunct w:val="0"/>
        <w:autoSpaceDE w:val="0"/>
        <w:autoSpaceDN w:val="0"/>
        <w:adjustRightInd w:val="0"/>
        <w:spacing w:after="0" w:line="278" w:lineRule="auto"/>
        <w:jc w:val="both"/>
        <w:rPr>
          <w:rFonts w:ascii="Times New Roman" w:hAnsi="Times New Roman"/>
          <w:sz w:val="24"/>
          <w:szCs w:val="24"/>
        </w:rPr>
      </w:pPr>
      <w:r w:rsidRPr="00CB73F5">
        <w:rPr>
          <w:rFonts w:ascii="Arial" w:hAnsi="Arial" w:cs="Arial"/>
          <w:color w:val="1F1A17"/>
        </w:rPr>
        <w:t>Elektronik ve Bilgi Teknolojileri Departmanı’nın (MoC&amp;IT) yayınladığı idari özet raporuna göre, sektör ülkedeki en büyük istihdam sağlayıcı haline gelmiştir. NASSCOM’un tahminlerine göre Hint BT sektörü 2020’ye kadar 30 milyon işçiye ulaşacaktır.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E13097">
      <w:pPr>
        <w:widowControl w:val="0"/>
        <w:overflowPunct w:val="0"/>
        <w:autoSpaceDE w:val="0"/>
        <w:autoSpaceDN w:val="0"/>
        <w:adjustRightInd w:val="0"/>
        <w:spacing w:after="0" w:line="295" w:lineRule="auto"/>
        <w:jc w:val="both"/>
        <w:rPr>
          <w:rFonts w:ascii="Times New Roman" w:hAnsi="Times New Roman"/>
          <w:sz w:val="24"/>
          <w:szCs w:val="24"/>
        </w:rPr>
      </w:pPr>
      <w:r w:rsidRPr="00E13097">
        <w:rPr>
          <w:rFonts w:ascii="Arial" w:hAnsi="Arial" w:cs="Arial"/>
          <w:color w:val="1F1A17"/>
          <w:sz w:val="21"/>
          <w:szCs w:val="21"/>
        </w:rPr>
        <w:t>Accenture, HP Enterprise Services, IBM ve Cap Gemini gibi küresel şirketler Hindistan’da büyük bir varlık gösteriyorlar. Bu şirketler çoktandır büyük ölçekte Hint kökenli işçileri istihdam ediyorlar – Accenture (40.000+), IBM (130.000+), HP Enterprise Services (15.000+) ve Cap Gemini (26.000+); küresel oyuncular, düşük maliyetli yurt içi ve off-shore melez hizmet verebilme amacıyla yurt içi hizmet sağlayıcıları geliştiriyorlar.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82"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96"/>
        <w:rPr>
          <w:rFonts w:ascii="Times New Roman" w:hAnsi="Times New Roman"/>
          <w:sz w:val="24"/>
          <w:szCs w:val="24"/>
          <w:highlight w:val="yellow"/>
        </w:rPr>
      </w:pPr>
      <w:r w:rsidRPr="00303E99">
        <w:rPr>
          <w:rFonts w:ascii="Arial" w:hAnsi="Arial" w:cs="Arial"/>
          <w:color w:val="1F1A17"/>
          <w:sz w:val="17"/>
          <w:szCs w:val="17"/>
        </w:rPr>
        <w:t>HİNDİSTAN-TÜRKİYE Ticari ve Ekonomik İlişkiler</w:t>
      </w:r>
      <w:r>
        <w:rPr>
          <w:rFonts w:ascii="Arial" w:hAnsi="Arial" w:cs="Arial"/>
          <w:color w:val="1F1A17"/>
          <w:sz w:val="17"/>
          <w:szCs w:val="17"/>
        </w:rPr>
        <w:t>: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15" w:name="page93"/>
      <w:bookmarkEnd w:id="15"/>
      <w:r>
        <w:rPr>
          <w:noProof/>
          <w:highlight w:val="yellow"/>
        </w:rPr>
        <w:drawing>
          <wp:anchor distT="0" distB="0" distL="114300" distR="114300" simplePos="0" relativeHeight="251664384" behindDoc="1" locked="0" layoutInCell="0" allowOverlap="1">
            <wp:simplePos x="0" y="0"/>
            <wp:positionH relativeFrom="page">
              <wp:posOffset>0</wp:posOffset>
            </wp:positionH>
            <wp:positionV relativeFrom="page">
              <wp:posOffset>377190</wp:posOffset>
            </wp:positionV>
            <wp:extent cx="7880350" cy="9897110"/>
            <wp:effectExtent l="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29193" name="Picture 101"/>
                    <pic:cNvPicPr>
                      <a:picLocks noChangeAspect="1" noChangeArrowheads="1"/>
                    </pic:cNvPicPr>
                  </pic:nvPicPr>
                  <pic:blipFill>
                    <a:blip xmlns:r="http://schemas.openxmlformats.org/officeDocument/2006/relationships" r:embed="rId6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29" w:lineRule="exact"/>
        <w:rPr>
          <w:rFonts w:ascii="Times New Roman" w:hAnsi="Times New Roman"/>
          <w:sz w:val="24"/>
          <w:szCs w:val="24"/>
          <w:highlight w:val="yellow"/>
        </w:rPr>
      </w:pPr>
    </w:p>
    <w:p w:rsidR="00CD158B" w:rsidRPr="00BB2D89">
      <w:pPr>
        <w:widowControl w:val="0"/>
        <w:overflowPunct w:val="0"/>
        <w:autoSpaceDE w:val="0"/>
        <w:autoSpaceDN w:val="0"/>
        <w:adjustRightInd w:val="0"/>
        <w:spacing w:after="0" w:line="277" w:lineRule="auto"/>
        <w:jc w:val="both"/>
        <w:rPr>
          <w:rFonts w:ascii="Times New Roman" w:hAnsi="Times New Roman"/>
          <w:sz w:val="24"/>
          <w:szCs w:val="24"/>
        </w:rPr>
      </w:pPr>
      <w:r w:rsidRPr="00BB2D89">
        <w:rPr>
          <w:rFonts w:ascii="Arial" w:hAnsi="Arial" w:cs="Arial"/>
          <w:color w:val="1F1A17"/>
        </w:rPr>
        <w:t>Nisan 2000 ve Mart 2011 arasında, Endüstri Politikaları ve Teşvik Departmanı’na (DIPP) göre, ki bu departman Ticaret ve Endüstri Bakanlığı’nın ülkenin DYY politikalarını formüle etmekten sorumludur, DYY açısından bilgisayar yazılımı ve donanımı sektörü kümülatif olarak 10.723 milyon dolar yatırım aldı.</w:t>
      </w:r>
    </w:p>
    <w:p w:rsidR="00CD158B" w:rsidRPr="006C5A81">
      <w:pPr>
        <w:widowControl w:val="0"/>
        <w:autoSpaceDE w:val="0"/>
        <w:autoSpaceDN w:val="0"/>
        <w:adjustRightInd w:val="0"/>
        <w:spacing w:after="0" w:line="220" w:lineRule="exact"/>
        <w:rPr>
          <w:rFonts w:ascii="Times New Roman" w:hAnsi="Times New Roman"/>
          <w:sz w:val="24"/>
          <w:szCs w:val="24"/>
          <w:highlight w:val="yellow"/>
        </w:rPr>
      </w:pPr>
    </w:p>
    <w:p w:rsidR="00CD158B" w:rsidRPr="00362A19">
      <w:pPr>
        <w:widowControl w:val="0"/>
        <w:overflowPunct w:val="0"/>
        <w:autoSpaceDE w:val="0"/>
        <w:autoSpaceDN w:val="0"/>
        <w:adjustRightInd w:val="0"/>
        <w:spacing w:after="0" w:line="277" w:lineRule="auto"/>
        <w:jc w:val="both"/>
        <w:rPr>
          <w:rFonts w:ascii="Times New Roman" w:hAnsi="Times New Roman"/>
          <w:sz w:val="24"/>
          <w:szCs w:val="24"/>
        </w:rPr>
      </w:pPr>
      <w:r w:rsidRPr="00362A19">
        <w:rPr>
          <w:rFonts w:ascii="Arial" w:hAnsi="Arial" w:cs="Arial"/>
          <w:color w:val="1F1A17"/>
        </w:rPr>
        <w:t>BT ve BTEH Hindistan’ın kalkınmasında ve büyümesinde çok büyük bir rol oynadı. Elektronik ve BT sektöründe bilgilendirme</w:t>
      </w:r>
      <w:r w:rsidRPr="00362A19" w:rsidR="00362A19">
        <w:rPr>
          <w:rFonts w:ascii="Arial" w:hAnsi="Arial" w:cs="Arial"/>
          <w:color w:val="1F1A17"/>
        </w:rPr>
        <w:t xml:space="preserve"> / beyan</w:t>
      </w:r>
      <w:r w:rsidRPr="00362A19">
        <w:rPr>
          <w:rFonts w:ascii="Arial" w:hAnsi="Arial" w:cs="Arial"/>
          <w:color w:val="1F1A17"/>
        </w:rPr>
        <w:t xml:space="preserve"> sistemi kullanılarak %100 DYY’a izin verilmiştir.</w:t>
      </w:r>
      <w:r w:rsidRPr="00362A19" w:rsidR="00362A19">
        <w:rPr>
          <w:rFonts w:ascii="Arial" w:hAnsi="Arial" w:cs="Arial"/>
          <w:color w:val="1F1A17"/>
        </w:rPr>
        <w:t xml:space="preserve"> Bu sektörde ihraç odaklı birimler (EOU), yazılım teknolojileri parkları (STP) ve özel ekonomik bölgeler (SEZ) için Hindistan Hükümeti’nin büyük mali teşvikleri olmuştur.</w:t>
      </w:r>
    </w:p>
    <w:p w:rsidR="00CD158B" w:rsidRPr="006C5A81">
      <w:pPr>
        <w:widowControl w:val="0"/>
        <w:autoSpaceDE w:val="0"/>
        <w:autoSpaceDN w:val="0"/>
        <w:adjustRightInd w:val="0"/>
        <w:spacing w:after="0" w:line="220" w:lineRule="exact"/>
        <w:rPr>
          <w:rFonts w:ascii="Times New Roman" w:hAnsi="Times New Roman"/>
          <w:sz w:val="24"/>
          <w:szCs w:val="24"/>
          <w:highlight w:val="yellow"/>
        </w:rPr>
      </w:pPr>
    </w:p>
    <w:p w:rsidR="00CD158B" w:rsidRPr="004F28E6">
      <w:pPr>
        <w:widowControl w:val="0"/>
        <w:overflowPunct w:val="0"/>
        <w:autoSpaceDE w:val="0"/>
        <w:autoSpaceDN w:val="0"/>
        <w:adjustRightInd w:val="0"/>
        <w:spacing w:after="0" w:line="276" w:lineRule="auto"/>
        <w:jc w:val="both"/>
        <w:rPr>
          <w:rFonts w:ascii="Times New Roman" w:hAnsi="Times New Roman"/>
          <w:sz w:val="24"/>
          <w:szCs w:val="24"/>
        </w:rPr>
      </w:pPr>
      <w:r w:rsidRPr="004F28E6">
        <w:rPr>
          <w:rFonts w:ascii="Arial" w:hAnsi="Arial" w:cs="Arial"/>
          <w:color w:val="1F1A17"/>
        </w:rPr>
        <w:t>NASSCOM’a göre Hint BT endüstrisi 2020’ye kadar 225 milyon dolarlık bir hacme ulaşacaktır. McKinsey’in “Perspektif 2020; İşin Dönüşümü, Hindistan’ın Dönüşümü” adlı raporuna göre 2020’ye kadar Hint BT endüstrisinin ihraç kolu 175 milyon dolarlık bir gelire sahip olacaktır. Kamu sektörü, medya ve araçları gibi ana-akım sektörler dışındaki sektörlerde %80’in üzerinde bir büyüme beklenmektedir; bunun yanında</w:t>
      </w:r>
      <w:r w:rsidRPr="004F28E6" w:rsidR="00884311">
        <w:rPr>
          <w:rFonts w:ascii="Arial" w:hAnsi="Arial" w:cs="Arial"/>
          <w:color w:val="1F1A17"/>
        </w:rPr>
        <w:t xml:space="preserve"> küresel BT harcamalarının %20’sini oluşturan </w:t>
      </w:r>
      <w:r w:rsidRPr="004F28E6">
        <w:rPr>
          <w:rFonts w:ascii="Arial" w:hAnsi="Arial" w:cs="Arial"/>
          <w:color w:val="1F1A17"/>
        </w:rPr>
        <w:t>gelişmekte olan ülkelerden de büyük bir talep olması beklenmektedir.</w:t>
      </w:r>
      <w:r w:rsidRPr="004F28E6" w:rsidR="00884311">
        <w:rPr>
          <w:rFonts w:ascii="Arial" w:hAnsi="Arial" w:cs="Arial"/>
          <w:color w:val="1F1A17"/>
        </w:rPr>
        <w:t xml:space="preserve"> Aynı zamanda Hindistan vasıflı işçi mevcudu dolayısıyla küresel bir merkez olduğu için yurt içi kolu gelir açısından 2020’ye kadar 50 milyar dolar katkı sağlayacaktır. Hepsinden öte Hindistan’da çoğalan vasıf havuzunun BT-BST alanındaki Ar-Ge ve innovasyon şirketlerini çekme gücü vardır.</w:t>
      </w:r>
    </w:p>
    <w:p w:rsidR="00CD158B" w:rsidRPr="004F28E6">
      <w:pPr>
        <w:widowControl w:val="0"/>
        <w:autoSpaceDE w:val="0"/>
        <w:autoSpaceDN w:val="0"/>
        <w:adjustRightInd w:val="0"/>
        <w:spacing w:after="0" w:line="321" w:lineRule="exact"/>
        <w:rPr>
          <w:rFonts w:ascii="Times New Roman" w:hAnsi="Times New Roman"/>
          <w:sz w:val="24"/>
          <w:szCs w:val="24"/>
        </w:rPr>
      </w:pPr>
    </w:p>
    <w:p w:rsidR="00CD158B" w:rsidRPr="008D25BD">
      <w:pPr>
        <w:widowControl w:val="0"/>
        <w:autoSpaceDE w:val="0"/>
        <w:autoSpaceDN w:val="0"/>
        <w:adjustRightInd w:val="0"/>
        <w:spacing w:after="0" w:line="240" w:lineRule="auto"/>
        <w:ind w:left="120"/>
        <w:rPr>
          <w:rFonts w:ascii="Times New Roman" w:hAnsi="Times New Roman"/>
          <w:color w:val="1F4E79"/>
          <w:sz w:val="24"/>
          <w:szCs w:val="24"/>
        </w:rPr>
      </w:pPr>
      <w:r w:rsidRPr="008D25BD">
        <w:rPr>
          <w:rFonts w:ascii="Arial" w:hAnsi="Arial" w:cs="Arial"/>
          <w:b/>
          <w:bCs/>
          <w:color w:val="1F4E79"/>
          <w:sz w:val="20"/>
          <w:szCs w:val="20"/>
        </w:rPr>
        <w:t>Hindistan’daki Yabancı Yatırımcılar</w:t>
      </w:r>
    </w:p>
    <w:p w:rsidR="00CD158B" w:rsidRPr="004F28E6">
      <w:pPr>
        <w:widowControl w:val="0"/>
        <w:autoSpaceDE w:val="0"/>
        <w:autoSpaceDN w:val="0"/>
        <w:adjustRightInd w:val="0"/>
        <w:spacing w:after="0" w:line="135" w:lineRule="exact"/>
        <w:rPr>
          <w:rFonts w:ascii="Times New Roman" w:hAnsi="Times New Roman"/>
          <w:sz w:val="24"/>
          <w:szCs w:val="24"/>
        </w:rPr>
      </w:pPr>
    </w:p>
    <w:tbl>
      <w:tblPr>
        <w:tblW w:w="0" w:type="auto"/>
        <w:tblLayout w:type="fixed"/>
        <w:tblCellMar>
          <w:left w:w="0" w:type="dxa"/>
          <w:right w:w="0" w:type="dxa"/>
        </w:tblCellMar>
        <w:tblLook w:val="0000"/>
      </w:tblPr>
      <w:tblGrid>
        <w:gridCol w:w="3940"/>
        <w:gridCol w:w="3980"/>
      </w:tblGrid>
      <w:tr>
        <w:tblPrEx>
          <w:tblW w:w="0" w:type="auto"/>
          <w:tblLayout w:type="fixed"/>
          <w:tblCellMar>
            <w:left w:w="0" w:type="dxa"/>
            <w:right w:w="0" w:type="dxa"/>
          </w:tblCellMar>
          <w:tblLook w:val="0000"/>
        </w:tblPrEx>
        <w:trPr>
          <w:trHeight w:val="215"/>
        </w:trPr>
        <w:tc>
          <w:tcPr>
            <w:tcW w:w="394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Accenture (</w:t>
            </w:r>
            <w:r w:rsidRPr="004F28E6" w:rsidR="00BB2D89">
              <w:rPr>
                <w:rFonts w:ascii="Arial" w:hAnsi="Arial" w:cs="Arial"/>
                <w:color w:val="1F1A17"/>
                <w:sz w:val="18"/>
                <w:szCs w:val="18"/>
              </w:rPr>
              <w:t>İrlanda</w:t>
            </w:r>
            <w:r w:rsidRPr="004F28E6">
              <w:rPr>
                <w:rFonts w:ascii="Arial" w:hAnsi="Arial" w:cs="Arial"/>
                <w:color w:val="1F1A17"/>
                <w:sz w:val="18"/>
                <w:szCs w:val="18"/>
              </w:rPr>
              <w:t>)</w:t>
            </w:r>
          </w:p>
        </w:tc>
        <w:tc>
          <w:tcPr>
            <w:tcW w:w="398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Cognizant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32"/>
        </w:trPr>
        <w:tc>
          <w:tcPr>
            <w:tcW w:w="394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2"/>
                <w:szCs w:val="2"/>
              </w:rPr>
            </w:pP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2"/>
                <w:szCs w:val="2"/>
              </w:rPr>
            </w:pPr>
          </w:p>
        </w:tc>
      </w:tr>
      <w:tr>
        <w:tblPrEx>
          <w:tblW w:w="0" w:type="auto"/>
          <w:tblLayout w:type="fixed"/>
          <w:tblCellMar>
            <w:left w:w="0" w:type="dxa"/>
            <w:right w:w="0" w:type="dxa"/>
          </w:tblCellMar>
          <w:tblLook w:val="0000"/>
        </w:tblPrEx>
        <w:trPr>
          <w:trHeight w:val="338"/>
        </w:trPr>
        <w:tc>
          <w:tcPr>
            <w:tcW w:w="3940" w:type="dxa"/>
            <w:tcBorders>
              <w:top w:val="nil"/>
              <w:left w:val="nil"/>
              <w:bottom w:val="single" w:sz="8" w:space="0" w:color="F7C44A"/>
              <w:right w:val="nil"/>
            </w:tcBorders>
            <w:shd w:val="clear" w:color="auto" w:fill="F7C44A"/>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HP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single" w:sz="8" w:space="0" w:color="F7C44A"/>
              <w:right w:val="nil"/>
            </w:tcBorders>
            <w:shd w:val="clear" w:color="auto" w:fill="F7C44A"/>
            <w:vAlign w:val="bottom"/>
          </w:tcPr>
          <w:p w:rsidR="00CD158B" w:rsidRPr="004F28E6">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C</w:t>
            </w:r>
            <w:r w:rsidRPr="004F28E6" w:rsidR="00BB2D89">
              <w:rPr>
                <w:rFonts w:ascii="Arial" w:hAnsi="Arial" w:cs="Arial"/>
                <w:color w:val="1F1A17"/>
                <w:sz w:val="18"/>
                <w:szCs w:val="18"/>
              </w:rPr>
              <w:t>apgemini (Fransa</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310"/>
        </w:trPr>
        <w:tc>
          <w:tcPr>
            <w:tcW w:w="394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IBM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A</w:t>
            </w:r>
            <w:r w:rsidRPr="004F28E6" w:rsidR="00BB2D89">
              <w:rPr>
                <w:rFonts w:ascii="Arial" w:hAnsi="Arial" w:cs="Arial"/>
                <w:color w:val="1F1A17"/>
                <w:sz w:val="18"/>
                <w:szCs w:val="18"/>
              </w:rPr>
              <w:t>tos (Fransa</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45"/>
        </w:trPr>
        <w:tc>
          <w:tcPr>
            <w:tcW w:w="394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3"/>
                <w:szCs w:val="3"/>
              </w:rPr>
            </w:pP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3"/>
                <w:szCs w:val="3"/>
              </w:rPr>
            </w:pPr>
          </w:p>
        </w:tc>
      </w:tr>
      <w:tr>
        <w:tblPrEx>
          <w:tblW w:w="0" w:type="auto"/>
          <w:tblLayout w:type="fixed"/>
          <w:tblCellMar>
            <w:left w:w="0" w:type="dxa"/>
            <w:right w:w="0" w:type="dxa"/>
          </w:tblCellMar>
          <w:tblLook w:val="0000"/>
        </w:tblPrEx>
        <w:trPr>
          <w:trHeight w:val="336"/>
        </w:trPr>
        <w:tc>
          <w:tcPr>
            <w:tcW w:w="3940" w:type="dxa"/>
            <w:tcBorders>
              <w:top w:val="nil"/>
              <w:left w:val="nil"/>
              <w:bottom w:val="single" w:sz="8" w:space="0" w:color="F7C44A"/>
              <w:right w:val="nil"/>
            </w:tcBorders>
            <w:shd w:val="clear" w:color="auto" w:fill="F7C44A"/>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Microsoft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single" w:sz="8" w:space="0" w:color="F7C44A"/>
              <w:right w:val="nil"/>
            </w:tcBorders>
            <w:shd w:val="clear" w:color="auto" w:fill="F7C44A"/>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CDNS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298"/>
        </w:trPr>
        <w:tc>
          <w:tcPr>
            <w:tcW w:w="394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Intel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Dell International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69"/>
        </w:trPr>
        <w:tc>
          <w:tcPr>
            <w:tcW w:w="394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5"/>
                <w:szCs w:val="5"/>
              </w:rPr>
            </w:pP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5"/>
                <w:szCs w:val="5"/>
              </w:rPr>
            </w:pPr>
          </w:p>
        </w:tc>
      </w:tr>
      <w:tr>
        <w:tblPrEx>
          <w:tblW w:w="0" w:type="auto"/>
          <w:tblLayout w:type="fixed"/>
          <w:tblCellMar>
            <w:left w:w="0" w:type="dxa"/>
            <w:right w:w="0" w:type="dxa"/>
          </w:tblCellMar>
          <w:tblLook w:val="0000"/>
        </w:tblPrEx>
        <w:trPr>
          <w:trHeight w:val="281"/>
        </w:trPr>
        <w:tc>
          <w:tcPr>
            <w:tcW w:w="3940" w:type="dxa"/>
            <w:tcBorders>
              <w:top w:val="nil"/>
              <w:left w:val="nil"/>
              <w:bottom w:val="nil"/>
              <w:right w:val="nil"/>
            </w:tcBorders>
            <w:shd w:val="clear" w:color="auto" w:fill="F7C44A"/>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Agilent Technologies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nil"/>
              <w:right w:val="nil"/>
            </w:tcBorders>
            <w:shd w:val="clear" w:color="auto" w:fill="F7C44A"/>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Mentor Graphics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75"/>
        </w:trPr>
        <w:tc>
          <w:tcPr>
            <w:tcW w:w="3940" w:type="dxa"/>
            <w:tcBorders>
              <w:top w:val="nil"/>
              <w:left w:val="nil"/>
              <w:bottom w:val="nil"/>
              <w:right w:val="nil"/>
            </w:tcBorders>
            <w:shd w:val="clear" w:color="auto" w:fill="F7C44A"/>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c>
          <w:tcPr>
            <w:tcW w:w="3980" w:type="dxa"/>
            <w:tcBorders>
              <w:top w:val="nil"/>
              <w:left w:val="nil"/>
              <w:bottom w:val="nil"/>
              <w:right w:val="nil"/>
            </w:tcBorders>
            <w:shd w:val="clear" w:color="auto" w:fill="F7C44A"/>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r>
      <w:tr>
        <w:tblPrEx>
          <w:tblW w:w="0" w:type="auto"/>
          <w:tblLayout w:type="fixed"/>
          <w:tblCellMar>
            <w:left w:w="0" w:type="dxa"/>
            <w:right w:w="0" w:type="dxa"/>
          </w:tblCellMar>
          <w:tblLook w:val="0000"/>
        </w:tblPrEx>
        <w:trPr>
          <w:trHeight w:val="275"/>
        </w:trPr>
        <w:tc>
          <w:tcPr>
            <w:tcW w:w="394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Oracle Corporation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Qualcomm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73"/>
        </w:trPr>
        <w:tc>
          <w:tcPr>
            <w:tcW w:w="394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r>
      <w:tr>
        <w:tblPrEx>
          <w:tblW w:w="0" w:type="auto"/>
          <w:tblLayout w:type="fixed"/>
          <w:tblCellMar>
            <w:left w:w="0" w:type="dxa"/>
            <w:right w:w="0" w:type="dxa"/>
          </w:tblCellMar>
          <w:tblLook w:val="0000"/>
        </w:tblPrEx>
        <w:trPr>
          <w:trHeight w:val="277"/>
        </w:trPr>
        <w:tc>
          <w:tcPr>
            <w:tcW w:w="3940" w:type="dxa"/>
            <w:tcBorders>
              <w:top w:val="nil"/>
              <w:left w:val="nil"/>
              <w:bottom w:val="nil"/>
              <w:right w:val="nil"/>
            </w:tcBorders>
            <w:shd w:val="clear" w:color="auto" w:fill="F7C44A"/>
            <w:vAlign w:val="bottom"/>
          </w:tcPr>
          <w:p w:rsidR="00CD158B" w:rsidRPr="004F28E6">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Steria (Fransa</w:t>
            </w:r>
            <w:r w:rsidRPr="004F28E6">
              <w:rPr>
                <w:rFonts w:ascii="Arial" w:hAnsi="Arial" w:cs="Arial"/>
                <w:color w:val="1F1A17"/>
                <w:sz w:val="18"/>
                <w:szCs w:val="18"/>
              </w:rPr>
              <w:t>)</w:t>
            </w:r>
          </w:p>
        </w:tc>
        <w:tc>
          <w:tcPr>
            <w:tcW w:w="3980" w:type="dxa"/>
            <w:tcBorders>
              <w:top w:val="nil"/>
              <w:left w:val="nil"/>
              <w:bottom w:val="nil"/>
              <w:right w:val="nil"/>
            </w:tcBorders>
            <w:shd w:val="clear" w:color="auto" w:fill="F7C44A"/>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Ricoh (Jap</w:t>
            </w:r>
            <w:r w:rsidRPr="004F28E6" w:rsidR="00BB2D89">
              <w:rPr>
                <w:rFonts w:ascii="Arial" w:hAnsi="Arial" w:cs="Arial"/>
                <w:color w:val="1F1A17"/>
                <w:sz w:val="18"/>
                <w:szCs w:val="18"/>
              </w:rPr>
              <w:t>onya</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79"/>
        </w:trPr>
        <w:tc>
          <w:tcPr>
            <w:tcW w:w="3940" w:type="dxa"/>
            <w:tcBorders>
              <w:top w:val="nil"/>
              <w:left w:val="nil"/>
              <w:bottom w:val="nil"/>
              <w:right w:val="nil"/>
            </w:tcBorders>
            <w:shd w:val="clear" w:color="auto" w:fill="F7C44A"/>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c>
          <w:tcPr>
            <w:tcW w:w="3980" w:type="dxa"/>
            <w:tcBorders>
              <w:top w:val="nil"/>
              <w:left w:val="nil"/>
              <w:bottom w:val="nil"/>
              <w:right w:val="nil"/>
            </w:tcBorders>
            <w:shd w:val="clear" w:color="auto" w:fill="F7C44A"/>
            <w:vAlign w:val="bottom"/>
          </w:tcPr>
          <w:p w:rsidR="00CD158B" w:rsidRPr="004F28E6">
            <w:pPr>
              <w:widowControl w:val="0"/>
              <w:autoSpaceDE w:val="0"/>
              <w:autoSpaceDN w:val="0"/>
              <w:adjustRightInd w:val="0"/>
              <w:spacing w:after="0" w:line="240" w:lineRule="auto"/>
              <w:rPr>
                <w:rFonts w:ascii="Times New Roman" w:hAnsi="Times New Roman"/>
                <w:sz w:val="6"/>
                <w:szCs w:val="6"/>
              </w:rPr>
            </w:pPr>
          </w:p>
        </w:tc>
      </w:tr>
      <w:tr>
        <w:tblPrEx>
          <w:tblW w:w="0" w:type="auto"/>
          <w:tblLayout w:type="fixed"/>
          <w:tblCellMar>
            <w:left w:w="0" w:type="dxa"/>
            <w:right w:w="0" w:type="dxa"/>
          </w:tblCellMar>
          <w:tblLook w:val="0000"/>
        </w:tblPrEx>
        <w:trPr>
          <w:trHeight w:val="271"/>
        </w:trPr>
        <w:tc>
          <w:tcPr>
            <w:tcW w:w="394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SAP (</w:t>
            </w:r>
            <w:r w:rsidRPr="004F28E6" w:rsidR="00BB2D89">
              <w:rPr>
                <w:rFonts w:ascii="Arial" w:hAnsi="Arial" w:cs="Arial"/>
                <w:color w:val="1F1A17"/>
                <w:sz w:val="18"/>
                <w:szCs w:val="18"/>
              </w:rPr>
              <w:t>Almanya</w:t>
            </w:r>
            <w:r w:rsidRPr="004F28E6">
              <w:rPr>
                <w:rFonts w:ascii="Arial" w:hAnsi="Arial" w:cs="Arial"/>
                <w:color w:val="1F1A17"/>
                <w:sz w:val="18"/>
                <w:szCs w:val="18"/>
              </w:rPr>
              <w:t>)</w:t>
            </w:r>
          </w:p>
        </w:tc>
        <w:tc>
          <w:tcPr>
            <w:tcW w:w="3980" w:type="dxa"/>
            <w:tcBorders>
              <w:top w:val="nil"/>
              <w:left w:val="nil"/>
              <w:bottom w:val="nil"/>
              <w:right w:val="nil"/>
            </w:tcBorders>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TIBCO (</w:t>
            </w:r>
            <w:r w:rsidRPr="004F28E6" w:rsidR="00BB2D89">
              <w:rPr>
                <w:rFonts w:ascii="Arial" w:hAnsi="Arial" w:cs="Arial"/>
                <w:color w:val="1F1A17"/>
                <w:sz w:val="18"/>
                <w:szCs w:val="18"/>
              </w:rPr>
              <w:t>ABD</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58"/>
        </w:trPr>
        <w:tc>
          <w:tcPr>
            <w:tcW w:w="394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5"/>
                <w:szCs w:val="5"/>
              </w:rPr>
            </w:pPr>
          </w:p>
        </w:tc>
        <w:tc>
          <w:tcPr>
            <w:tcW w:w="3980" w:type="dxa"/>
            <w:tcBorders>
              <w:top w:val="nil"/>
              <w:left w:val="nil"/>
              <w:bottom w:val="nil"/>
              <w:right w:val="nil"/>
            </w:tcBorders>
            <w:vAlign w:val="bottom"/>
          </w:tcPr>
          <w:p w:rsidR="00CD158B" w:rsidRPr="004F28E6">
            <w:pPr>
              <w:widowControl w:val="0"/>
              <w:autoSpaceDE w:val="0"/>
              <w:autoSpaceDN w:val="0"/>
              <w:adjustRightInd w:val="0"/>
              <w:spacing w:after="0" w:line="240" w:lineRule="auto"/>
              <w:rPr>
                <w:rFonts w:ascii="Times New Roman" w:hAnsi="Times New Roman"/>
                <w:sz w:val="5"/>
                <w:szCs w:val="5"/>
              </w:rPr>
            </w:pPr>
          </w:p>
        </w:tc>
      </w:tr>
      <w:tr>
        <w:tblPrEx>
          <w:tblW w:w="0" w:type="auto"/>
          <w:tblLayout w:type="fixed"/>
          <w:tblCellMar>
            <w:left w:w="0" w:type="dxa"/>
            <w:right w:w="0" w:type="dxa"/>
          </w:tblCellMar>
          <w:tblLook w:val="0000"/>
        </w:tblPrEx>
        <w:trPr>
          <w:trHeight w:val="292"/>
        </w:trPr>
        <w:tc>
          <w:tcPr>
            <w:tcW w:w="3940" w:type="dxa"/>
            <w:tcBorders>
              <w:top w:val="nil"/>
              <w:left w:val="nil"/>
              <w:bottom w:val="nil"/>
              <w:right w:val="nil"/>
            </w:tcBorders>
            <w:shd w:val="clear" w:color="auto" w:fill="F7C44A"/>
            <w:vAlign w:val="bottom"/>
          </w:tcPr>
          <w:p w:rsidR="00CD158B" w:rsidRPr="004F28E6" w:rsidP="00BB2D89">
            <w:pPr>
              <w:widowControl w:val="0"/>
              <w:autoSpaceDE w:val="0"/>
              <w:autoSpaceDN w:val="0"/>
              <w:adjustRightInd w:val="0"/>
              <w:spacing w:after="0" w:line="240" w:lineRule="auto"/>
              <w:ind w:left="120"/>
              <w:rPr>
                <w:rFonts w:ascii="Times New Roman" w:hAnsi="Times New Roman"/>
                <w:sz w:val="24"/>
                <w:szCs w:val="24"/>
              </w:rPr>
            </w:pPr>
            <w:r w:rsidRPr="004F28E6">
              <w:rPr>
                <w:rFonts w:ascii="Arial" w:hAnsi="Arial" w:cs="Arial"/>
                <w:color w:val="1F1A17"/>
                <w:sz w:val="18"/>
                <w:szCs w:val="18"/>
              </w:rPr>
              <w:t>AppliedMaterials (</w:t>
            </w:r>
            <w:r w:rsidRPr="004F28E6" w:rsidR="00BB2D89">
              <w:rPr>
                <w:rFonts w:ascii="Arial" w:hAnsi="Arial" w:cs="Arial"/>
                <w:color w:val="1F1A17"/>
                <w:sz w:val="18"/>
                <w:szCs w:val="18"/>
              </w:rPr>
              <w:t>ABD</w:t>
            </w:r>
            <w:r w:rsidRPr="004F28E6">
              <w:rPr>
                <w:rFonts w:ascii="Arial" w:hAnsi="Arial" w:cs="Arial"/>
                <w:color w:val="1F1A17"/>
                <w:sz w:val="18"/>
                <w:szCs w:val="18"/>
              </w:rPr>
              <w:t>)</w:t>
            </w:r>
          </w:p>
        </w:tc>
        <w:tc>
          <w:tcPr>
            <w:tcW w:w="3980" w:type="dxa"/>
            <w:tcBorders>
              <w:top w:val="nil"/>
              <w:left w:val="nil"/>
              <w:bottom w:val="nil"/>
              <w:right w:val="nil"/>
            </w:tcBorders>
            <w:shd w:val="clear" w:color="auto" w:fill="F7C44A"/>
            <w:vAlign w:val="bottom"/>
          </w:tcPr>
          <w:p w:rsidR="00CD158B" w:rsidRPr="004F28E6" w:rsidP="00BB2D89">
            <w:pPr>
              <w:widowControl w:val="0"/>
              <w:autoSpaceDE w:val="0"/>
              <w:autoSpaceDN w:val="0"/>
              <w:adjustRightInd w:val="0"/>
              <w:spacing w:after="0" w:line="240" w:lineRule="auto"/>
              <w:ind w:left="1680"/>
              <w:rPr>
                <w:rFonts w:ascii="Times New Roman" w:hAnsi="Times New Roman"/>
                <w:sz w:val="24"/>
                <w:szCs w:val="24"/>
              </w:rPr>
            </w:pPr>
            <w:r w:rsidRPr="004F28E6">
              <w:rPr>
                <w:rFonts w:ascii="Arial" w:hAnsi="Arial" w:cs="Arial"/>
                <w:color w:val="1F1A17"/>
                <w:sz w:val="18"/>
                <w:szCs w:val="18"/>
              </w:rPr>
              <w:t>Philips (</w:t>
            </w:r>
            <w:r w:rsidRPr="004F28E6" w:rsidR="00BB2D89">
              <w:rPr>
                <w:rFonts w:ascii="Arial" w:hAnsi="Arial" w:cs="Arial"/>
                <w:color w:val="1F1A17"/>
                <w:sz w:val="18"/>
                <w:szCs w:val="18"/>
              </w:rPr>
              <w:t>Hollanda</w:t>
            </w:r>
            <w:r w:rsidRPr="004F28E6">
              <w:rPr>
                <w:rFonts w:ascii="Arial" w:hAnsi="Arial" w:cs="Arial"/>
                <w:color w:val="1F1A17"/>
                <w:sz w:val="18"/>
                <w:szCs w:val="18"/>
              </w:rPr>
              <w:t>)</w:t>
            </w:r>
          </w:p>
        </w:tc>
      </w:tr>
      <w:tr>
        <w:tblPrEx>
          <w:tblW w:w="0" w:type="auto"/>
          <w:tblLayout w:type="fixed"/>
          <w:tblCellMar>
            <w:left w:w="0" w:type="dxa"/>
            <w:right w:w="0" w:type="dxa"/>
          </w:tblCellMar>
          <w:tblLook w:val="0000"/>
        </w:tblPrEx>
        <w:trPr>
          <w:trHeight w:val="64"/>
        </w:trPr>
        <w:tc>
          <w:tcPr>
            <w:tcW w:w="394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5"/>
                <w:szCs w:val="5"/>
                <w:highlight w:val="yellow"/>
              </w:rPr>
            </w:pPr>
          </w:p>
        </w:tc>
        <w:tc>
          <w:tcPr>
            <w:tcW w:w="398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5"/>
                <w:szCs w:val="5"/>
                <w:highlight w:val="yellow"/>
              </w:rPr>
            </w:pPr>
          </w:p>
        </w:tc>
      </w:tr>
    </w:tbl>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35"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96"/>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16" w:name="page94"/>
      <w:bookmarkEnd w:id="16"/>
      <w:r>
        <w:rPr>
          <w:noProof/>
          <w:highlight w:val="yellow"/>
        </w:rPr>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880350" cy="9446895"/>
            <wp:effectExtent l="0" t="0" r="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64646" name="Picture 102"/>
                    <pic:cNvPicPr>
                      <a:picLocks noChangeAspect="1" noChangeArrowheads="1"/>
                    </pic:cNvPicPr>
                  </pic:nvPicPr>
                  <pic:blipFill>
                    <a:blip xmlns:r="http://schemas.openxmlformats.org/officeDocument/2006/relationships" r:embed="rId69">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35" w:lineRule="exact"/>
        <w:rPr>
          <w:rFonts w:ascii="Times New Roman" w:hAnsi="Times New Roman"/>
          <w:sz w:val="24"/>
          <w:szCs w:val="24"/>
          <w:highlight w:val="yellow"/>
        </w:rPr>
      </w:pPr>
    </w:p>
    <w:p w:rsidR="00CD158B" w:rsidRPr="004F28E6">
      <w:pPr>
        <w:widowControl w:val="0"/>
        <w:autoSpaceDE w:val="0"/>
        <w:autoSpaceDN w:val="0"/>
        <w:adjustRightInd w:val="0"/>
        <w:spacing w:after="0" w:line="240" w:lineRule="auto"/>
        <w:rPr>
          <w:rFonts w:ascii="Times New Roman" w:hAnsi="Times New Roman"/>
          <w:sz w:val="24"/>
          <w:szCs w:val="24"/>
        </w:rPr>
      </w:pPr>
      <w:r>
        <w:rPr>
          <w:rFonts w:ascii="Arial" w:hAnsi="Arial" w:cs="Arial"/>
          <w:color w:val="0A408A"/>
          <w:sz w:val="30"/>
          <w:szCs w:val="30"/>
        </w:rPr>
        <w:t>Gıda ve</w:t>
      </w:r>
      <w:r w:rsidRPr="004F28E6">
        <w:rPr>
          <w:rFonts w:ascii="Arial" w:hAnsi="Arial" w:cs="Arial"/>
          <w:color w:val="0A408A"/>
          <w:sz w:val="30"/>
          <w:szCs w:val="30"/>
        </w:rPr>
        <w:t xml:space="preserve"> Tarım Sektörü</w:t>
      </w:r>
    </w:p>
    <w:p w:rsidR="00CD158B" w:rsidRPr="004F28E6">
      <w:pPr>
        <w:widowControl w:val="0"/>
        <w:autoSpaceDE w:val="0"/>
        <w:autoSpaceDN w:val="0"/>
        <w:adjustRightInd w:val="0"/>
        <w:spacing w:after="0" w:line="215" w:lineRule="exact"/>
        <w:rPr>
          <w:rFonts w:ascii="Times New Roman" w:hAnsi="Times New Roman"/>
          <w:sz w:val="24"/>
          <w:szCs w:val="24"/>
        </w:rPr>
      </w:pPr>
    </w:p>
    <w:p w:rsidR="00CD158B" w:rsidRPr="004F28E6">
      <w:pPr>
        <w:widowControl w:val="0"/>
        <w:autoSpaceDE w:val="0"/>
        <w:autoSpaceDN w:val="0"/>
        <w:adjustRightInd w:val="0"/>
        <w:spacing w:after="0" w:line="240" w:lineRule="auto"/>
        <w:rPr>
          <w:rFonts w:ascii="Times New Roman" w:hAnsi="Times New Roman"/>
          <w:sz w:val="24"/>
          <w:szCs w:val="24"/>
        </w:rPr>
      </w:pPr>
      <w:r w:rsidRPr="004F28E6">
        <w:rPr>
          <w:rFonts w:ascii="Arial" w:hAnsi="Arial" w:cs="Arial"/>
          <w:color w:val="E87817"/>
          <w:sz w:val="26"/>
          <w:szCs w:val="26"/>
        </w:rPr>
        <w:t>Türkiye</w:t>
      </w:r>
    </w:p>
    <w:p w:rsidR="00CD158B" w:rsidRPr="006C5A81">
      <w:pPr>
        <w:widowControl w:val="0"/>
        <w:autoSpaceDE w:val="0"/>
        <w:autoSpaceDN w:val="0"/>
        <w:adjustRightInd w:val="0"/>
        <w:spacing w:after="0" w:line="259" w:lineRule="exact"/>
        <w:rPr>
          <w:rFonts w:ascii="Times New Roman" w:hAnsi="Times New Roman"/>
          <w:sz w:val="24"/>
          <w:szCs w:val="24"/>
          <w:highlight w:val="yellow"/>
        </w:rPr>
      </w:pPr>
    </w:p>
    <w:p w:rsidR="00CD158B" w:rsidRPr="00502934">
      <w:pPr>
        <w:widowControl w:val="0"/>
        <w:overflowPunct w:val="0"/>
        <w:autoSpaceDE w:val="0"/>
        <w:autoSpaceDN w:val="0"/>
        <w:adjustRightInd w:val="0"/>
        <w:spacing w:after="0" w:line="277" w:lineRule="auto"/>
        <w:jc w:val="both"/>
        <w:rPr>
          <w:rFonts w:ascii="Times New Roman" w:hAnsi="Times New Roman"/>
          <w:sz w:val="24"/>
          <w:szCs w:val="24"/>
        </w:rPr>
      </w:pPr>
      <w:r w:rsidRPr="00502934">
        <w:rPr>
          <w:rFonts w:ascii="Arial" w:hAnsi="Arial" w:cs="Arial"/>
          <w:color w:val="1F1A17"/>
        </w:rPr>
        <w:t>Elverişli coğrafik konumu ve iklimi ile Türkiye dünyadaki 7nci büyük tarım ekonomisine sahiptir ve dünyadaki önde gelen tarım ve gıda üreten ülkelerden biri olarak kabul edilir. Yeniden yapılandırma hareketleri 1980’lerde özelleştirme ve ticari engellerin kaldırılması gibi reformlarla beraber başlamıştır, bunun sonucunda yurt içi pazarı, dünya ekonomisinin ayrılmaz bir parçası haline gelmiştir.</w:t>
      </w:r>
    </w:p>
    <w:p w:rsidR="00CD158B" w:rsidRPr="000B06B8">
      <w:pPr>
        <w:widowControl w:val="0"/>
        <w:autoSpaceDE w:val="0"/>
        <w:autoSpaceDN w:val="0"/>
        <w:adjustRightInd w:val="0"/>
        <w:spacing w:after="0" w:line="218" w:lineRule="exact"/>
        <w:rPr>
          <w:rFonts w:ascii="Times New Roman" w:hAnsi="Times New Roman"/>
          <w:sz w:val="24"/>
          <w:szCs w:val="24"/>
        </w:rPr>
      </w:pPr>
    </w:p>
    <w:p w:rsidR="00CD158B" w:rsidRPr="000B06B8">
      <w:pPr>
        <w:widowControl w:val="0"/>
        <w:overflowPunct w:val="0"/>
        <w:autoSpaceDE w:val="0"/>
        <w:autoSpaceDN w:val="0"/>
        <w:adjustRightInd w:val="0"/>
        <w:spacing w:after="0" w:line="276" w:lineRule="auto"/>
        <w:ind w:firstLine="40"/>
        <w:jc w:val="both"/>
        <w:rPr>
          <w:rFonts w:ascii="Times New Roman" w:hAnsi="Times New Roman"/>
          <w:sz w:val="24"/>
          <w:szCs w:val="24"/>
        </w:rPr>
      </w:pPr>
      <w:r w:rsidRPr="000B06B8">
        <w:rPr>
          <w:rFonts w:ascii="Arial" w:hAnsi="Arial" w:cs="Arial"/>
          <w:color w:val="1F1A17"/>
        </w:rPr>
        <w:t xml:space="preserve">Ülke içindeki brüt katma değerin (BKD) %9’una ve istihdamın da %25’ini karşılayan, büyük ve gelişen bir gıda ve tarım endüstrisine sahiptir. Türkiye’deki tarım üretimi AB-25 içinde meyve üretimin %40’ına ve sebze üretimin de %25’ine denktir. Ekilebilir ürünlerde (AB </w:t>
      </w:r>
      <w:r w:rsidRPr="000B06B8" w:rsidR="006B0D54">
        <w:rPr>
          <w:rFonts w:ascii="Arial" w:hAnsi="Arial" w:cs="Arial"/>
          <w:color w:val="1F1A17"/>
        </w:rPr>
        <w:t>terminolojisi</w:t>
      </w:r>
      <w:r w:rsidRPr="000B06B8">
        <w:rPr>
          <w:rFonts w:ascii="Arial" w:hAnsi="Arial" w:cs="Arial"/>
          <w:color w:val="1F1A17"/>
        </w:rPr>
        <w:t xml:space="preserve"> içinde) büyük üreticidir,</w:t>
      </w:r>
      <w:r w:rsidRPr="000B06B8" w:rsidR="000B06B8">
        <w:rPr>
          <w:rFonts w:ascii="Arial" w:hAnsi="Arial" w:cs="Arial"/>
          <w:color w:val="1F1A17"/>
        </w:rPr>
        <w:t xml:space="preserve"> nohut, mercimek, pamuk, tütün ürünleri ve zeytinyağı gibi bir birtakım tahıl türlerinde</w:t>
      </w:r>
      <w:r w:rsidRPr="000B06B8">
        <w:rPr>
          <w:rFonts w:ascii="Arial" w:hAnsi="Arial" w:cs="Arial"/>
          <w:color w:val="1F1A17"/>
        </w:rPr>
        <w:t xml:space="preserve"> ise rekabetçi üreticidir (AB </w:t>
      </w:r>
      <w:r w:rsidRPr="000B06B8" w:rsidR="006B0D54">
        <w:rPr>
          <w:rFonts w:ascii="Arial" w:hAnsi="Arial" w:cs="Arial"/>
          <w:color w:val="1F1A17"/>
        </w:rPr>
        <w:t>terminolojisi</w:t>
      </w:r>
      <w:r w:rsidRPr="000B06B8">
        <w:rPr>
          <w:rFonts w:ascii="Arial" w:hAnsi="Arial" w:cs="Arial"/>
          <w:color w:val="1F1A17"/>
        </w:rPr>
        <w:t xml:space="preserve"> içinde)</w:t>
      </w:r>
      <w:r w:rsidRPr="000B06B8" w:rsidR="000B06B8">
        <w:rPr>
          <w:rFonts w:ascii="Arial" w:hAnsi="Arial" w:cs="Arial"/>
          <w:color w:val="1F1A17"/>
        </w:rPr>
        <w:t>.</w:t>
      </w:r>
    </w:p>
    <w:p w:rsidR="00CD158B" w:rsidRPr="000B06B8">
      <w:pPr>
        <w:widowControl w:val="0"/>
        <w:autoSpaceDE w:val="0"/>
        <w:autoSpaceDN w:val="0"/>
        <w:adjustRightInd w:val="0"/>
        <w:spacing w:after="0" w:line="224" w:lineRule="exact"/>
        <w:rPr>
          <w:rFonts w:ascii="Times New Roman" w:hAnsi="Times New Roman"/>
          <w:sz w:val="24"/>
          <w:szCs w:val="24"/>
        </w:rPr>
      </w:pPr>
    </w:p>
    <w:p w:rsidR="00CD158B" w:rsidRPr="000B06B8">
      <w:pPr>
        <w:widowControl w:val="0"/>
        <w:overflowPunct w:val="0"/>
        <w:autoSpaceDE w:val="0"/>
        <w:autoSpaceDN w:val="0"/>
        <w:adjustRightInd w:val="0"/>
        <w:spacing w:after="0" w:line="277" w:lineRule="auto"/>
        <w:jc w:val="both"/>
        <w:rPr>
          <w:rFonts w:ascii="Times New Roman" w:hAnsi="Times New Roman"/>
          <w:sz w:val="24"/>
          <w:szCs w:val="24"/>
        </w:rPr>
      </w:pPr>
      <w:r w:rsidRPr="000B06B8">
        <w:rPr>
          <w:rFonts w:ascii="Arial" w:hAnsi="Arial" w:cs="Arial"/>
          <w:color w:val="1F1A17"/>
        </w:rPr>
        <w:t xml:space="preserve">Tarıma ayrılan 39 milyon hektarlık alan AB-25’in %23’üne tekabül eder. Ekilebilir alan ve sulak alan bolluğu açısından Türkiye’nin diğer Orta Doğu ülkelerinden daha zengin tarımsal kaynakları vardır. Her ne kadar Türk tarım sektörü Mart 2010 rakamları ile ülke işgücünün %24’ünü kapsasa </w:t>
      </w:r>
      <w:r w:rsidRPr="000B06B8" w:rsidR="006B0D54">
        <w:rPr>
          <w:rFonts w:ascii="Arial" w:hAnsi="Arial" w:cs="Arial"/>
          <w:color w:val="1F1A17"/>
        </w:rPr>
        <w:t>da</w:t>
      </w:r>
      <w:r w:rsidRPr="000B06B8">
        <w:rPr>
          <w:rFonts w:ascii="Arial" w:hAnsi="Arial" w:cs="Arial"/>
          <w:color w:val="1F1A17"/>
        </w:rPr>
        <w:t xml:space="preserve"> veya diğer bir değişle </w:t>
      </w:r>
      <w:r w:rsidRPr="000B06B8" w:rsidR="006B0D54">
        <w:rPr>
          <w:rFonts w:ascii="Arial" w:hAnsi="Arial" w:cs="Arial"/>
          <w:color w:val="1F1A17"/>
        </w:rPr>
        <w:t>5,2</w:t>
      </w:r>
      <w:r w:rsidRPr="000B06B8">
        <w:rPr>
          <w:rFonts w:ascii="Arial" w:hAnsi="Arial" w:cs="Arial"/>
          <w:color w:val="1F1A17"/>
        </w:rPr>
        <w:t xml:space="preserve"> milyon insana istihdam sağlasa da, tarım gelirleri GSH’nın sadece %</w:t>
      </w:r>
      <w:r w:rsidRPr="000B06B8" w:rsidR="006B0D54">
        <w:rPr>
          <w:rFonts w:ascii="Arial" w:hAnsi="Arial" w:cs="Arial"/>
          <w:color w:val="1F1A17"/>
        </w:rPr>
        <w:t>8,3’ünü</w:t>
      </w:r>
      <w:r w:rsidRPr="000B06B8">
        <w:rPr>
          <w:rFonts w:ascii="Arial" w:hAnsi="Arial" w:cs="Arial"/>
          <w:color w:val="1F1A17"/>
        </w:rPr>
        <w:t xml:space="preserve"> oluşturur.</w:t>
      </w:r>
    </w:p>
    <w:p w:rsidR="00CD158B" w:rsidRPr="000B06B8">
      <w:pPr>
        <w:widowControl w:val="0"/>
        <w:autoSpaceDE w:val="0"/>
        <w:autoSpaceDN w:val="0"/>
        <w:adjustRightInd w:val="0"/>
        <w:spacing w:after="0" w:line="218" w:lineRule="exact"/>
        <w:rPr>
          <w:rFonts w:ascii="Times New Roman" w:hAnsi="Times New Roman"/>
          <w:sz w:val="24"/>
          <w:szCs w:val="24"/>
        </w:rPr>
      </w:pPr>
    </w:p>
    <w:p w:rsidR="00CD158B" w:rsidRPr="000B06B8">
      <w:pPr>
        <w:widowControl w:val="0"/>
        <w:overflowPunct w:val="0"/>
        <w:autoSpaceDE w:val="0"/>
        <w:autoSpaceDN w:val="0"/>
        <w:adjustRightInd w:val="0"/>
        <w:spacing w:after="0" w:line="276" w:lineRule="auto"/>
        <w:jc w:val="both"/>
        <w:rPr>
          <w:rFonts w:ascii="Times New Roman" w:hAnsi="Times New Roman"/>
          <w:sz w:val="24"/>
          <w:szCs w:val="24"/>
        </w:rPr>
      </w:pPr>
      <w:r w:rsidRPr="000B06B8">
        <w:rPr>
          <w:rFonts w:ascii="Arial" w:hAnsi="Arial" w:cs="Arial"/>
          <w:color w:val="1F1A17"/>
        </w:rPr>
        <w:t>Tarımsal çıktılar son yıllarda 50 ila 55 milyar dolar arasındadır. Çoğunluğu bitki ürünlerinden oluşur. Birleşmiş Milletler’in Tarım ve Gıda Örgütüne göre hane başına düşen sebze ve meyve üretiminde ve toplam çıktıda Türkiye ilk 10 ülke içindedir. Türkiye’nin en iyi avantajı uygun arazilerinin bolluğu ve iklim koşullarının çeşitliliğidir. Astropikal bitkilerinin yanında bütün Akdeniz ve ılıman iklim bitkileri ülkede yetiştirilebilir.</w:t>
      </w:r>
    </w:p>
    <w:p w:rsidR="00CD158B" w:rsidRPr="006C5A81">
      <w:pPr>
        <w:widowControl w:val="0"/>
        <w:autoSpaceDE w:val="0"/>
        <w:autoSpaceDN w:val="0"/>
        <w:adjustRightInd w:val="0"/>
        <w:spacing w:after="0" w:line="128" w:lineRule="exact"/>
        <w:rPr>
          <w:rFonts w:ascii="Times New Roman" w:hAnsi="Times New Roman"/>
          <w:sz w:val="24"/>
          <w:szCs w:val="24"/>
          <w:highlight w:val="yellow"/>
        </w:rPr>
      </w:pPr>
    </w:p>
    <w:p w:rsidR="00CD158B" w:rsidRPr="000B06B8">
      <w:pPr>
        <w:widowControl w:val="0"/>
        <w:autoSpaceDE w:val="0"/>
        <w:autoSpaceDN w:val="0"/>
        <w:adjustRightInd w:val="0"/>
        <w:spacing w:after="0" w:line="240" w:lineRule="auto"/>
        <w:rPr>
          <w:rFonts w:ascii="Times New Roman" w:hAnsi="Times New Roman"/>
          <w:sz w:val="24"/>
          <w:szCs w:val="24"/>
        </w:rPr>
      </w:pPr>
      <w:r w:rsidRPr="000B06B8">
        <w:rPr>
          <w:rFonts w:ascii="Arial" w:hAnsi="Arial" w:cs="Arial"/>
          <w:b/>
          <w:bCs/>
          <w:color w:val="E87817"/>
        </w:rPr>
        <w:t>Tarımsal Üretim 2007-2010</w:t>
      </w:r>
    </w:p>
    <w:p w:rsidR="00CD158B" w:rsidRPr="006C5A81">
      <w:pPr>
        <w:widowControl w:val="0"/>
        <w:autoSpaceDE w:val="0"/>
        <w:autoSpaceDN w:val="0"/>
        <w:adjustRightInd w:val="0"/>
        <w:spacing w:after="0" w:line="207" w:lineRule="exact"/>
        <w:rPr>
          <w:rFonts w:ascii="Times New Roman" w:hAnsi="Times New Roman"/>
          <w:sz w:val="24"/>
          <w:szCs w:val="24"/>
          <w:highlight w:val="yellow"/>
        </w:rPr>
      </w:pPr>
    </w:p>
    <w:tbl>
      <w:tblPr>
        <w:tblW w:w="0" w:type="auto"/>
        <w:tblLayout w:type="fixed"/>
        <w:tblCellMar>
          <w:left w:w="0" w:type="dxa"/>
          <w:right w:w="0" w:type="dxa"/>
        </w:tblCellMar>
        <w:tblLook w:val="0000"/>
      </w:tblPr>
      <w:tblGrid>
        <w:gridCol w:w="1700"/>
        <w:gridCol w:w="2200"/>
        <w:gridCol w:w="2260"/>
        <w:gridCol w:w="1760"/>
      </w:tblGrid>
      <w:tr>
        <w:tblPrEx>
          <w:tblW w:w="0" w:type="auto"/>
          <w:tblLayout w:type="fixed"/>
          <w:tblCellMar>
            <w:left w:w="0" w:type="dxa"/>
            <w:right w:w="0" w:type="dxa"/>
          </w:tblCellMar>
          <w:tblLook w:val="0000"/>
        </w:tblPrEx>
        <w:trPr>
          <w:trHeight w:val="284"/>
        </w:trPr>
        <w:tc>
          <w:tcPr>
            <w:tcW w:w="1700" w:type="dxa"/>
            <w:tcBorders>
              <w:top w:val="nil"/>
              <w:left w:val="nil"/>
              <w:bottom w:val="nil"/>
              <w:right w:val="nil"/>
            </w:tcBorders>
            <w:shd w:val="clear" w:color="auto" w:fill="E87817"/>
            <w:vAlign w:val="bottom"/>
          </w:tcPr>
          <w:p w:rsidR="00CD158B" w:rsidRPr="00642156" w:rsidP="000B06B8">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b/>
                <w:bCs/>
                <w:color w:val="FFFFFF"/>
                <w:sz w:val="18"/>
                <w:szCs w:val="18"/>
              </w:rPr>
              <w:t>Üretim</w:t>
            </w:r>
          </w:p>
        </w:tc>
        <w:tc>
          <w:tcPr>
            <w:tcW w:w="220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b/>
                <w:bCs/>
                <w:color w:val="FFFFFF"/>
                <w:sz w:val="18"/>
                <w:szCs w:val="18"/>
              </w:rPr>
              <w:t>2008</w:t>
            </w: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b/>
                <w:bCs/>
                <w:color w:val="FFFFFF"/>
                <w:sz w:val="18"/>
                <w:szCs w:val="18"/>
              </w:rPr>
              <w:t>2009</w:t>
            </w:r>
          </w:p>
        </w:tc>
        <w:tc>
          <w:tcPr>
            <w:tcW w:w="17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b/>
                <w:bCs/>
                <w:color w:val="FFFFFF"/>
                <w:sz w:val="18"/>
                <w:szCs w:val="18"/>
              </w:rPr>
              <w:t>2010</w:t>
            </w:r>
          </w:p>
        </w:tc>
      </w:tr>
      <w:tr>
        <w:tblPrEx>
          <w:tblW w:w="0" w:type="auto"/>
          <w:tblLayout w:type="fixed"/>
          <w:tblCellMar>
            <w:left w:w="0" w:type="dxa"/>
            <w:right w:w="0" w:type="dxa"/>
          </w:tblCellMar>
          <w:tblLook w:val="0000"/>
        </w:tblPrEx>
        <w:trPr>
          <w:trHeight w:val="240"/>
        </w:trPr>
        <w:tc>
          <w:tcPr>
            <w:tcW w:w="170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20"/>
                <w:szCs w:val="20"/>
              </w:rPr>
            </w:pPr>
          </w:p>
        </w:tc>
        <w:tc>
          <w:tcPr>
            <w:tcW w:w="220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b/>
                <w:bCs/>
                <w:color w:val="FFFFFF"/>
                <w:sz w:val="18"/>
                <w:szCs w:val="18"/>
              </w:rPr>
              <w:t>000 ton</w:t>
            </w: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b/>
                <w:bCs/>
                <w:color w:val="FFFFFF"/>
                <w:sz w:val="18"/>
                <w:szCs w:val="18"/>
              </w:rPr>
              <w:t>000 ton</w:t>
            </w:r>
          </w:p>
        </w:tc>
        <w:tc>
          <w:tcPr>
            <w:tcW w:w="17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b/>
                <w:bCs/>
                <w:color w:val="FFFFFF"/>
                <w:sz w:val="18"/>
                <w:szCs w:val="18"/>
              </w:rPr>
              <w:t>000ton</w:t>
            </w:r>
          </w:p>
        </w:tc>
      </w:tr>
      <w:tr>
        <w:tblPrEx>
          <w:tblW w:w="0" w:type="auto"/>
          <w:tblLayout w:type="fixed"/>
          <w:tblCellMar>
            <w:left w:w="0" w:type="dxa"/>
            <w:right w:w="0" w:type="dxa"/>
          </w:tblCellMar>
          <w:tblLook w:val="0000"/>
        </w:tblPrEx>
        <w:trPr>
          <w:trHeight w:val="92"/>
        </w:trPr>
        <w:tc>
          <w:tcPr>
            <w:tcW w:w="170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220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17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r>
      <w:tr>
        <w:tblPrEx>
          <w:tblW w:w="0" w:type="auto"/>
          <w:tblLayout w:type="fixed"/>
          <w:tblCellMar>
            <w:left w:w="0" w:type="dxa"/>
            <w:right w:w="0" w:type="dxa"/>
          </w:tblCellMar>
          <w:tblLook w:val="0000"/>
        </w:tblPrEx>
        <w:trPr>
          <w:trHeight w:val="258"/>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Tahıl</w:t>
            </w: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31,132</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33,553</w:t>
            </w: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32,700</w:t>
            </w:r>
          </w:p>
        </w:tc>
      </w:tr>
      <w:tr>
        <w:tblPrEx>
          <w:tblW w:w="0" w:type="auto"/>
          <w:tblLayout w:type="fixed"/>
          <w:tblCellMar>
            <w:left w:w="0" w:type="dxa"/>
            <w:right w:w="0" w:type="dxa"/>
          </w:tblCellMar>
          <w:tblLook w:val="0000"/>
        </w:tblPrEx>
        <w:trPr>
          <w:trHeight w:val="91"/>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59"/>
        </w:trPr>
        <w:tc>
          <w:tcPr>
            <w:tcW w:w="17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Buğday</w:t>
            </w:r>
          </w:p>
        </w:tc>
        <w:tc>
          <w:tcPr>
            <w:tcW w:w="22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17,782</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20,600</w:t>
            </w:r>
          </w:p>
        </w:tc>
        <w:tc>
          <w:tcPr>
            <w:tcW w:w="17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19,600</w:t>
            </w:r>
          </w:p>
        </w:tc>
      </w:tr>
      <w:tr>
        <w:tblPrEx>
          <w:tblW w:w="0" w:type="auto"/>
          <w:tblLayout w:type="fixed"/>
          <w:tblCellMar>
            <w:left w:w="0" w:type="dxa"/>
            <w:right w:w="0" w:type="dxa"/>
          </w:tblCellMar>
          <w:tblLook w:val="0000"/>
        </w:tblPrEx>
        <w:trPr>
          <w:trHeight w:val="91"/>
        </w:trPr>
        <w:tc>
          <w:tcPr>
            <w:tcW w:w="17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59"/>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Arpa</w:t>
            </w: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5,923</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7,300</w:t>
            </w: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7,200</w:t>
            </w:r>
          </w:p>
        </w:tc>
      </w:tr>
      <w:tr>
        <w:tblPrEx>
          <w:tblW w:w="0" w:type="auto"/>
          <w:tblLayout w:type="fixed"/>
          <w:tblCellMar>
            <w:left w:w="0" w:type="dxa"/>
            <w:right w:w="0" w:type="dxa"/>
          </w:tblCellMar>
          <w:tblLook w:val="0000"/>
        </w:tblPrEx>
        <w:trPr>
          <w:trHeight w:val="90"/>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0"/>
        </w:trPr>
        <w:tc>
          <w:tcPr>
            <w:tcW w:w="17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Mısır</w:t>
            </w:r>
          </w:p>
        </w:tc>
        <w:tc>
          <w:tcPr>
            <w:tcW w:w="22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4,274</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4,250,</w:t>
            </w:r>
          </w:p>
        </w:tc>
        <w:tc>
          <w:tcPr>
            <w:tcW w:w="17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4,300</w:t>
            </w:r>
          </w:p>
        </w:tc>
      </w:tr>
      <w:tr>
        <w:tblPrEx>
          <w:tblW w:w="0" w:type="auto"/>
          <w:tblLayout w:type="fixed"/>
          <w:tblCellMar>
            <w:left w:w="0" w:type="dxa"/>
            <w:right w:w="0" w:type="dxa"/>
          </w:tblCellMar>
          <w:tblLook w:val="0000"/>
        </w:tblPrEx>
        <w:trPr>
          <w:trHeight w:val="89"/>
        </w:trPr>
        <w:tc>
          <w:tcPr>
            <w:tcW w:w="17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1"/>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Pirinç</w:t>
            </w: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753</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750</w:t>
            </w: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860</w:t>
            </w:r>
          </w:p>
        </w:tc>
      </w:tr>
      <w:tr>
        <w:tblPrEx>
          <w:tblW w:w="0" w:type="auto"/>
          <w:tblLayout w:type="fixed"/>
          <w:tblCellMar>
            <w:left w:w="0" w:type="dxa"/>
            <w:right w:w="0" w:type="dxa"/>
          </w:tblCellMar>
          <w:tblLook w:val="0000"/>
        </w:tblPrEx>
        <w:trPr>
          <w:trHeight w:val="88"/>
        </w:trPr>
        <w:tc>
          <w:tcPr>
            <w:tcW w:w="17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2"/>
        </w:trPr>
        <w:tc>
          <w:tcPr>
            <w:tcW w:w="17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Diğerleri</w:t>
            </w:r>
          </w:p>
        </w:tc>
        <w:tc>
          <w:tcPr>
            <w:tcW w:w="220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640"/>
              <w:rPr>
                <w:rFonts w:ascii="Times New Roman" w:hAnsi="Times New Roman"/>
                <w:sz w:val="24"/>
                <w:szCs w:val="24"/>
              </w:rPr>
            </w:pPr>
            <w:r w:rsidRPr="00642156">
              <w:rPr>
                <w:rFonts w:ascii="Arial" w:hAnsi="Arial" w:cs="Arial"/>
                <w:color w:val="1F1A17"/>
                <w:sz w:val="18"/>
                <w:szCs w:val="18"/>
              </w:rPr>
              <w:t>1,200</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653</w:t>
            </w:r>
          </w:p>
        </w:tc>
        <w:tc>
          <w:tcPr>
            <w:tcW w:w="17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800</w:t>
            </w:r>
          </w:p>
        </w:tc>
      </w:tr>
      <w:tr>
        <w:tblPrEx>
          <w:tblW w:w="0" w:type="auto"/>
          <w:tblLayout w:type="fixed"/>
          <w:tblCellMar>
            <w:left w:w="0" w:type="dxa"/>
            <w:right w:w="0" w:type="dxa"/>
          </w:tblCellMar>
          <w:tblLook w:val="0000"/>
        </w:tblPrEx>
        <w:trPr>
          <w:trHeight w:val="88"/>
        </w:trPr>
        <w:tc>
          <w:tcPr>
            <w:tcW w:w="170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7"/>
                <w:szCs w:val="7"/>
                <w:highlight w:val="yellow"/>
              </w:rPr>
            </w:pPr>
          </w:p>
        </w:tc>
        <w:tc>
          <w:tcPr>
            <w:tcW w:w="220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7"/>
                <w:szCs w:val="7"/>
                <w:highlight w:val="yellow"/>
              </w:rPr>
            </w:pPr>
          </w:p>
        </w:tc>
        <w:tc>
          <w:tcPr>
            <w:tcW w:w="226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7"/>
                <w:szCs w:val="7"/>
                <w:highlight w:val="yellow"/>
              </w:rPr>
            </w:pPr>
          </w:p>
        </w:tc>
        <w:tc>
          <w:tcPr>
            <w:tcW w:w="1760" w:type="dxa"/>
            <w:tcBorders>
              <w:top w:val="nil"/>
              <w:left w:val="nil"/>
              <w:bottom w:val="nil"/>
              <w:right w:val="nil"/>
            </w:tcBorders>
            <w:shd w:val="clear" w:color="auto" w:fill="F7C44A"/>
            <w:vAlign w:val="bottom"/>
          </w:tcPr>
          <w:p w:rsidR="00CD158B" w:rsidRPr="006C5A81">
            <w:pPr>
              <w:widowControl w:val="0"/>
              <w:autoSpaceDE w:val="0"/>
              <w:autoSpaceDN w:val="0"/>
              <w:adjustRightInd w:val="0"/>
              <w:spacing w:after="0" w:line="240" w:lineRule="auto"/>
              <w:rPr>
                <w:rFonts w:ascii="Times New Roman" w:hAnsi="Times New Roman"/>
                <w:sz w:val="7"/>
                <w:szCs w:val="7"/>
                <w:highlight w:val="yellow"/>
              </w:rPr>
            </w:pPr>
          </w:p>
        </w:tc>
      </w:tr>
    </w:tbl>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60"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237"/>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tbl>
      <w:tblPr>
        <w:tblW w:w="0" w:type="auto"/>
        <w:tblLayout w:type="fixed"/>
        <w:tblCellMar>
          <w:left w:w="0" w:type="dxa"/>
          <w:right w:w="0" w:type="dxa"/>
        </w:tblCellMar>
        <w:tblLook w:val="0000"/>
      </w:tblPr>
      <w:tblGrid>
        <w:gridCol w:w="2600"/>
        <w:gridCol w:w="780"/>
        <w:gridCol w:w="1920"/>
        <w:gridCol w:w="1980"/>
        <w:gridCol w:w="2260"/>
        <w:gridCol w:w="1220"/>
        <w:gridCol w:w="540"/>
      </w:tblGrid>
      <w:tr>
        <w:tblPrEx>
          <w:tblW w:w="0" w:type="auto"/>
          <w:tblLayout w:type="fixed"/>
          <w:tblCellMar>
            <w:left w:w="0" w:type="dxa"/>
            <w:right w:w="0" w:type="dxa"/>
          </w:tblCellMar>
          <w:tblLook w:val="0000"/>
        </w:tblPrEx>
        <w:trPr>
          <w:trHeight w:val="235"/>
        </w:trPr>
        <w:tc>
          <w:tcPr>
            <w:tcW w:w="260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bookmarkStart w:id="17" w:name="page95"/>
            <w:bookmarkEnd w:id="17"/>
            <w:r>
              <w:rPr>
                <w:noProof/>
                <w:highlight w:val="yellow"/>
              </w:rPr>
              <w:drawing>
                <wp:anchor distT="0" distB="0" distL="114300" distR="114300" simplePos="0" relativeHeight="251666432" behindDoc="1" locked="0" layoutInCell="0" allowOverlap="1">
                  <wp:simplePos x="0" y="0"/>
                  <wp:positionH relativeFrom="page">
                    <wp:posOffset>0</wp:posOffset>
                  </wp:positionH>
                  <wp:positionV relativeFrom="page">
                    <wp:posOffset>377190</wp:posOffset>
                  </wp:positionV>
                  <wp:extent cx="7880350" cy="9897110"/>
                  <wp:effectExtent l="0" t="0" r="0" b="0"/>
                  <wp:wrapNone/>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3432" name="Picture 103"/>
                          <pic:cNvPicPr>
                            <a:picLocks noChangeAspect="1" noChangeArrowheads="1"/>
                          </pic:cNvPicPr>
                        </pic:nvPicPr>
                        <pic:blipFill>
                          <a:blip xmlns:r="http://schemas.openxmlformats.org/officeDocument/2006/relationships" r:embed="rId7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tc>
        <w:tc>
          <w:tcPr>
            <w:tcW w:w="78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c>
          <w:tcPr>
            <w:tcW w:w="192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c>
          <w:tcPr>
            <w:tcW w:w="198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c>
          <w:tcPr>
            <w:tcW w:w="226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c>
          <w:tcPr>
            <w:tcW w:w="1220" w:type="dxa"/>
            <w:tcBorders>
              <w:top w:val="nil"/>
              <w:left w:val="nil"/>
              <w:bottom w:val="nil"/>
              <w:right w:val="single" w:sz="8" w:space="0" w:color="1F1A17"/>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c>
          <w:tcPr>
            <w:tcW w:w="540" w:type="dxa"/>
            <w:tcBorders>
              <w:top w:val="nil"/>
              <w:left w:val="nil"/>
              <w:bottom w:val="nil"/>
              <w:right w:val="single" w:sz="8" w:space="0" w:color="1F1A17"/>
            </w:tcBorders>
            <w:vAlign w:val="bottom"/>
          </w:tcPr>
          <w:p w:rsidR="00CD158B" w:rsidRPr="006C5A81">
            <w:pPr>
              <w:widowControl w:val="0"/>
              <w:autoSpaceDE w:val="0"/>
              <w:autoSpaceDN w:val="0"/>
              <w:adjustRightInd w:val="0"/>
              <w:spacing w:after="0" w:line="240" w:lineRule="auto"/>
              <w:rPr>
                <w:rFonts w:ascii="Times New Roman" w:hAnsi="Times New Roman"/>
                <w:sz w:val="20"/>
                <w:szCs w:val="20"/>
                <w:highlight w:val="yellow"/>
              </w:rPr>
            </w:pPr>
          </w:p>
        </w:tc>
      </w:tr>
      <w:tr>
        <w:tblPrEx>
          <w:tblW w:w="0" w:type="auto"/>
          <w:tblLayout w:type="fixed"/>
          <w:tblCellMar>
            <w:left w:w="0" w:type="dxa"/>
            <w:right w:w="0" w:type="dxa"/>
          </w:tblCellMar>
          <w:tblLook w:val="0000"/>
        </w:tblPrEx>
        <w:trPr>
          <w:trHeight w:val="898"/>
        </w:trPr>
        <w:tc>
          <w:tcPr>
            <w:tcW w:w="260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78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192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198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226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122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54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r>
      <w:tr>
        <w:tblPrEx>
          <w:tblW w:w="0" w:type="auto"/>
          <w:tblLayout w:type="fixed"/>
          <w:tblCellMar>
            <w:left w:w="0" w:type="dxa"/>
            <w:right w:w="0" w:type="dxa"/>
          </w:tblCellMar>
          <w:tblLook w:val="0000"/>
        </w:tblPrEx>
        <w:trPr>
          <w:trHeight w:val="284"/>
        </w:trPr>
        <w:tc>
          <w:tcPr>
            <w:tcW w:w="2600" w:type="dxa"/>
            <w:tcBorders>
              <w:top w:val="nil"/>
              <w:left w:val="nil"/>
              <w:bottom w:val="nil"/>
              <w:right w:val="nil"/>
            </w:tcBorders>
            <w:shd w:val="clear" w:color="auto" w:fill="DEDEDE"/>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780" w:type="dxa"/>
            <w:tcBorders>
              <w:top w:val="nil"/>
              <w:left w:val="nil"/>
              <w:bottom w:val="nil"/>
              <w:right w:val="nil"/>
            </w:tcBorders>
            <w:vAlign w:val="bottom"/>
          </w:tcPr>
          <w:p w:rsidR="00CD158B" w:rsidRPr="006C5A81">
            <w:pPr>
              <w:widowControl w:val="0"/>
              <w:autoSpaceDE w:val="0"/>
              <w:autoSpaceDN w:val="0"/>
              <w:adjustRightInd w:val="0"/>
              <w:spacing w:after="0" w:line="240" w:lineRule="auto"/>
              <w:rPr>
                <w:rFonts w:ascii="Times New Roman" w:hAnsi="Times New Roman"/>
                <w:sz w:val="24"/>
                <w:szCs w:val="24"/>
                <w:highlight w:val="yellow"/>
              </w:rPr>
            </w:pPr>
          </w:p>
        </w:tc>
        <w:tc>
          <w:tcPr>
            <w:tcW w:w="1920" w:type="dxa"/>
            <w:tcBorders>
              <w:top w:val="nil"/>
              <w:left w:val="nil"/>
              <w:bottom w:val="nil"/>
              <w:right w:val="nil"/>
            </w:tcBorders>
            <w:shd w:val="clear" w:color="auto" w:fill="E87817"/>
            <w:vAlign w:val="bottom"/>
          </w:tcPr>
          <w:p w:rsidR="00CD158B" w:rsidRPr="00642156" w:rsidP="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b/>
                <w:bCs/>
                <w:color w:val="FFFFFF"/>
                <w:sz w:val="18"/>
                <w:szCs w:val="18"/>
              </w:rPr>
              <w:t>Üretim</w:t>
            </w:r>
          </w:p>
        </w:tc>
        <w:tc>
          <w:tcPr>
            <w:tcW w:w="198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b/>
                <w:bCs/>
                <w:color w:val="FFFFFF"/>
                <w:sz w:val="18"/>
                <w:szCs w:val="18"/>
              </w:rPr>
              <w:t>2008</w:t>
            </w: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b/>
                <w:bCs/>
                <w:color w:val="FFFFFF"/>
                <w:sz w:val="18"/>
                <w:szCs w:val="18"/>
              </w:rPr>
              <w:t>2009</w:t>
            </w:r>
          </w:p>
        </w:tc>
        <w:tc>
          <w:tcPr>
            <w:tcW w:w="1220" w:type="dxa"/>
            <w:tcBorders>
              <w:top w:val="nil"/>
              <w:left w:val="nil"/>
              <w:bottom w:val="nil"/>
              <w:right w:val="single" w:sz="8" w:space="0" w:color="E87817"/>
            </w:tcBorders>
            <w:shd w:val="clear" w:color="auto" w:fill="E87817"/>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b/>
                <w:bCs/>
                <w:color w:val="FFFFFF"/>
                <w:sz w:val="18"/>
                <w:szCs w:val="18"/>
              </w:rPr>
              <w:t>2010</w:t>
            </w:r>
          </w:p>
        </w:tc>
        <w:tc>
          <w:tcPr>
            <w:tcW w:w="540" w:type="dxa"/>
            <w:tcBorders>
              <w:top w:val="nil"/>
              <w:left w:val="nil"/>
              <w:bottom w:val="nil"/>
              <w:right w:val="single" w:sz="8" w:space="0" w:color="E87817"/>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24"/>
                <w:szCs w:val="24"/>
              </w:rPr>
            </w:pPr>
          </w:p>
        </w:tc>
      </w:tr>
      <w:tr>
        <w:tblPrEx>
          <w:tblW w:w="0" w:type="auto"/>
          <w:tblLayout w:type="fixed"/>
          <w:tblCellMar>
            <w:left w:w="0" w:type="dxa"/>
            <w:right w:w="0" w:type="dxa"/>
          </w:tblCellMar>
          <w:tblLook w:val="0000"/>
        </w:tblPrEx>
        <w:trPr>
          <w:trHeight w:val="240"/>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0"/>
                <w:szCs w:val="20"/>
              </w:rPr>
            </w:pPr>
          </w:p>
        </w:tc>
        <w:tc>
          <w:tcPr>
            <w:tcW w:w="192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20"/>
                <w:szCs w:val="20"/>
              </w:rPr>
            </w:pPr>
          </w:p>
        </w:tc>
        <w:tc>
          <w:tcPr>
            <w:tcW w:w="198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b/>
                <w:bCs/>
                <w:color w:val="FFFFFF"/>
                <w:sz w:val="18"/>
                <w:szCs w:val="18"/>
              </w:rPr>
              <w:t>000 ton</w:t>
            </w: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b/>
                <w:bCs/>
                <w:color w:val="FFFFFF"/>
                <w:sz w:val="18"/>
                <w:szCs w:val="18"/>
              </w:rPr>
              <w:t>000 ton</w:t>
            </w:r>
          </w:p>
        </w:tc>
        <w:tc>
          <w:tcPr>
            <w:tcW w:w="1760" w:type="dxa"/>
            <w:gridSpan w:val="2"/>
            <w:tcBorders>
              <w:top w:val="nil"/>
              <w:left w:val="nil"/>
              <w:bottom w:val="nil"/>
              <w:right w:val="single" w:sz="8" w:space="0" w:color="E87817"/>
            </w:tcBorders>
            <w:shd w:val="clear" w:color="auto" w:fill="E87817"/>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b/>
                <w:bCs/>
                <w:color w:val="FFFFFF"/>
                <w:sz w:val="18"/>
                <w:szCs w:val="18"/>
              </w:rPr>
              <w:t>000ton</w:t>
            </w:r>
          </w:p>
        </w:tc>
      </w:tr>
      <w:tr>
        <w:tblPrEx>
          <w:tblW w:w="0" w:type="auto"/>
          <w:tblLayout w:type="fixed"/>
          <w:tblCellMar>
            <w:left w:w="0" w:type="dxa"/>
            <w:right w:w="0" w:type="dxa"/>
          </w:tblCellMar>
          <w:tblLook w:val="0000"/>
        </w:tblPrEx>
        <w:trPr>
          <w:trHeight w:val="92"/>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192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198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2260" w:type="dxa"/>
            <w:tcBorders>
              <w:top w:val="nil"/>
              <w:left w:val="nil"/>
              <w:bottom w:val="nil"/>
              <w:right w:val="nil"/>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c>
          <w:tcPr>
            <w:tcW w:w="1760" w:type="dxa"/>
            <w:gridSpan w:val="2"/>
            <w:tcBorders>
              <w:top w:val="nil"/>
              <w:left w:val="nil"/>
              <w:bottom w:val="nil"/>
              <w:right w:val="single" w:sz="8" w:space="0" w:color="E87817"/>
            </w:tcBorders>
            <w:shd w:val="clear" w:color="auto" w:fill="E87817"/>
            <w:vAlign w:val="bottom"/>
          </w:tcPr>
          <w:p w:rsidR="00CD158B" w:rsidRPr="00642156">
            <w:pPr>
              <w:widowControl w:val="0"/>
              <w:autoSpaceDE w:val="0"/>
              <w:autoSpaceDN w:val="0"/>
              <w:adjustRightInd w:val="0"/>
              <w:spacing w:after="0" w:line="240" w:lineRule="auto"/>
              <w:rPr>
                <w:rFonts w:ascii="Times New Roman" w:hAnsi="Times New Roman"/>
                <w:sz w:val="8"/>
                <w:szCs w:val="8"/>
              </w:rPr>
            </w:pPr>
          </w:p>
        </w:tc>
      </w:tr>
      <w:tr>
        <w:tblPrEx>
          <w:tblW w:w="0" w:type="auto"/>
          <w:tblLayout w:type="fixed"/>
          <w:tblCellMar>
            <w:left w:w="0" w:type="dxa"/>
            <w:right w:w="0" w:type="dxa"/>
          </w:tblCellMar>
          <w:tblLook w:val="0000"/>
        </w:tblPrEx>
        <w:trPr>
          <w:trHeight w:val="258"/>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Bakliyat</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ua</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ua</w:t>
            </w:r>
          </w:p>
        </w:tc>
        <w:tc>
          <w:tcPr>
            <w:tcW w:w="1760" w:type="dxa"/>
            <w:gridSpan w:val="2"/>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ua</w:t>
            </w:r>
          </w:p>
        </w:tc>
      </w:tr>
      <w:tr>
        <w:tblPrEx>
          <w:tblW w:w="0" w:type="auto"/>
          <w:tblLayout w:type="fixed"/>
          <w:tblCellMar>
            <w:left w:w="0" w:type="dxa"/>
            <w:right w:w="0" w:type="dxa"/>
          </w:tblCellMar>
          <w:tblLook w:val="0000"/>
        </w:tblPrEx>
        <w:trPr>
          <w:trHeight w:val="91"/>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59"/>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Pamuk</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1,820</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1,725</w:t>
            </w: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2,100</w:t>
            </w: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91"/>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59"/>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Tütün</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100</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85</w:t>
            </w: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55</w:t>
            </w: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90"/>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0"/>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shd w:val="clear" w:color="auto" w:fill="F7C44A"/>
            <w:vAlign w:val="bottom"/>
          </w:tcPr>
          <w:p w:rsidR="00CD158B" w:rsidRPr="00642156" w:rsidP="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Şekerpancarı</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15,488</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17,274</w:t>
            </w: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w w:val="87"/>
                <w:sz w:val="18"/>
                <w:szCs w:val="18"/>
              </w:rPr>
              <w:t>17,996</w:t>
            </w: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89"/>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1"/>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Patates</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4,225</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4,425</w:t>
            </w: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5,751</w:t>
            </w: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88"/>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30"/>
        </w:trPr>
        <w:tc>
          <w:tcPr>
            <w:tcW w:w="2600" w:type="dxa"/>
            <w:tcBorders>
              <w:top w:val="nil"/>
              <w:left w:val="nil"/>
              <w:bottom w:val="nil"/>
              <w:right w:val="nil"/>
            </w:tcBorders>
            <w:shd w:val="clear" w:color="auto" w:fill="DEDEDE"/>
            <w:vAlign w:val="bottom"/>
          </w:tcPr>
          <w:p w:rsidR="00CD158B" w:rsidRPr="00642156">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19"/>
                <w:szCs w:val="19"/>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Ayçiceği Tohumları</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854</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992</w:t>
            </w: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1,058</w:t>
            </w: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19"/>
                <w:szCs w:val="19"/>
              </w:rPr>
            </w:pPr>
          </w:p>
        </w:tc>
      </w:tr>
      <w:tr>
        <w:tblPrEx>
          <w:tblW w:w="0" w:type="auto"/>
          <w:tblLayout w:type="fixed"/>
          <w:tblCellMar>
            <w:left w:w="0" w:type="dxa"/>
            <w:right w:w="0" w:type="dxa"/>
          </w:tblCellMar>
          <w:tblLook w:val="0000"/>
        </w:tblPrEx>
        <w:trPr>
          <w:trHeight w:val="120"/>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c>
          <w:tcPr>
            <w:tcW w:w="1760" w:type="dxa"/>
            <w:gridSpan w:val="2"/>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10"/>
                <w:szCs w:val="10"/>
              </w:rPr>
            </w:pPr>
          </w:p>
        </w:tc>
      </w:tr>
      <w:tr>
        <w:tblPrEx>
          <w:tblW w:w="0" w:type="auto"/>
          <w:tblLayout w:type="fixed"/>
          <w:tblCellMar>
            <w:left w:w="0" w:type="dxa"/>
            <w:right w:w="0" w:type="dxa"/>
          </w:tblCellMar>
          <w:tblLook w:val="0000"/>
        </w:tblPrEx>
        <w:trPr>
          <w:trHeight w:val="262"/>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Meyveler</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15,600</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16,600</w:t>
            </w:r>
          </w:p>
        </w:tc>
        <w:tc>
          <w:tcPr>
            <w:tcW w:w="1760" w:type="dxa"/>
            <w:gridSpan w:val="2"/>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16,600</w:t>
            </w:r>
          </w:p>
        </w:tc>
      </w:tr>
      <w:tr>
        <w:tblPrEx>
          <w:tblW w:w="0" w:type="auto"/>
          <w:tblLayout w:type="fixed"/>
          <w:tblCellMar>
            <w:left w:w="0" w:type="dxa"/>
            <w:right w:w="0" w:type="dxa"/>
          </w:tblCellMar>
          <w:tblLook w:val="0000"/>
        </w:tblPrEx>
        <w:trPr>
          <w:trHeight w:val="87"/>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3"/>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Üzümler</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3,918</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4,264</w:t>
            </w: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4,260</w:t>
            </w: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86"/>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4"/>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Zeytinler</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1,464</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1,290</w:t>
            </w: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1,410</w:t>
            </w: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86"/>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4"/>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Fındık</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800</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500</w:t>
            </w: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630</w:t>
            </w: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rPr>
            </w:pPr>
          </w:p>
        </w:tc>
      </w:tr>
      <w:tr>
        <w:tblPrEx>
          <w:tblW w:w="0" w:type="auto"/>
          <w:tblLayout w:type="fixed"/>
          <w:tblCellMar>
            <w:left w:w="0" w:type="dxa"/>
            <w:right w:w="0" w:type="dxa"/>
          </w:tblCellMar>
          <w:tblLook w:val="0000"/>
        </w:tblPrEx>
        <w:trPr>
          <w:trHeight w:val="85"/>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5"/>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Çay</w:t>
            </w: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1,100</w:t>
            </w: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1,103</w:t>
            </w:r>
          </w:p>
        </w:tc>
        <w:tc>
          <w:tcPr>
            <w:tcW w:w="1220" w:type="dxa"/>
            <w:tcBorders>
              <w:top w:val="nil"/>
              <w:left w:val="nil"/>
              <w:bottom w:val="nil"/>
              <w:right w:val="nil"/>
            </w:tcBorders>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1,300</w:t>
            </w:r>
          </w:p>
        </w:tc>
        <w:tc>
          <w:tcPr>
            <w:tcW w:w="54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3"/>
                <w:szCs w:val="23"/>
              </w:rPr>
            </w:pPr>
          </w:p>
        </w:tc>
      </w:tr>
      <w:tr>
        <w:tblPrEx>
          <w:tblW w:w="0" w:type="auto"/>
          <w:tblLayout w:type="fixed"/>
          <w:tblCellMar>
            <w:left w:w="0" w:type="dxa"/>
            <w:right w:w="0" w:type="dxa"/>
          </w:tblCellMar>
          <w:tblLook w:val="0000"/>
        </w:tblPrEx>
        <w:trPr>
          <w:trHeight w:val="84"/>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760" w:type="dxa"/>
            <w:gridSpan w:val="2"/>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r>
        <w:tblPrEx>
          <w:tblW w:w="0" w:type="auto"/>
          <w:tblLayout w:type="fixed"/>
          <w:tblCellMar>
            <w:left w:w="0" w:type="dxa"/>
            <w:right w:w="0" w:type="dxa"/>
          </w:tblCellMar>
          <w:tblLook w:val="0000"/>
        </w:tblPrEx>
        <w:trPr>
          <w:trHeight w:val="266"/>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120"/>
              <w:rPr>
                <w:rFonts w:ascii="Times New Roman" w:hAnsi="Times New Roman"/>
                <w:sz w:val="24"/>
                <w:szCs w:val="24"/>
              </w:rPr>
            </w:pPr>
            <w:r w:rsidRPr="00642156">
              <w:rPr>
                <w:rFonts w:ascii="Arial" w:hAnsi="Arial" w:cs="Arial"/>
                <w:color w:val="1F1A17"/>
                <w:sz w:val="18"/>
                <w:szCs w:val="18"/>
              </w:rPr>
              <w:t>Sebzeler</w:t>
            </w: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420"/>
              <w:rPr>
                <w:rFonts w:ascii="Times New Roman" w:hAnsi="Times New Roman"/>
                <w:sz w:val="24"/>
                <w:szCs w:val="24"/>
              </w:rPr>
            </w:pPr>
            <w:r w:rsidRPr="00642156">
              <w:rPr>
                <w:rFonts w:ascii="Arial" w:hAnsi="Arial" w:cs="Arial"/>
                <w:color w:val="1F1A17"/>
                <w:sz w:val="18"/>
                <w:szCs w:val="18"/>
              </w:rPr>
              <w:t>27,200</w:t>
            </w: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ind w:left="820"/>
              <w:rPr>
                <w:rFonts w:ascii="Times New Roman" w:hAnsi="Times New Roman"/>
                <w:sz w:val="24"/>
                <w:szCs w:val="24"/>
              </w:rPr>
            </w:pPr>
            <w:r w:rsidRPr="00642156">
              <w:rPr>
                <w:rFonts w:ascii="Arial" w:hAnsi="Arial" w:cs="Arial"/>
                <w:color w:val="1F1A17"/>
                <w:sz w:val="18"/>
                <w:szCs w:val="18"/>
              </w:rPr>
              <w:t>26,400</w:t>
            </w:r>
          </w:p>
        </w:tc>
        <w:tc>
          <w:tcPr>
            <w:tcW w:w="1760" w:type="dxa"/>
            <w:gridSpan w:val="2"/>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ind w:left="700"/>
              <w:rPr>
                <w:rFonts w:ascii="Times New Roman" w:hAnsi="Times New Roman"/>
                <w:sz w:val="24"/>
                <w:szCs w:val="24"/>
              </w:rPr>
            </w:pPr>
            <w:r w:rsidRPr="00642156">
              <w:rPr>
                <w:rFonts w:ascii="Arial" w:hAnsi="Arial" w:cs="Arial"/>
                <w:color w:val="1F1A17"/>
                <w:sz w:val="18"/>
                <w:szCs w:val="18"/>
              </w:rPr>
              <w:t>26,000</w:t>
            </w:r>
          </w:p>
        </w:tc>
      </w:tr>
      <w:tr>
        <w:tblPrEx>
          <w:tblW w:w="0" w:type="auto"/>
          <w:tblLayout w:type="fixed"/>
          <w:tblCellMar>
            <w:left w:w="0" w:type="dxa"/>
            <w:right w:w="0" w:type="dxa"/>
          </w:tblCellMar>
          <w:tblLook w:val="0000"/>
        </w:tblPrEx>
        <w:trPr>
          <w:trHeight w:val="83"/>
        </w:trPr>
        <w:tc>
          <w:tcPr>
            <w:tcW w:w="260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2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2260" w:type="dxa"/>
            <w:tcBorders>
              <w:top w:val="nil"/>
              <w:left w:val="nil"/>
              <w:bottom w:val="nil"/>
              <w:right w:val="nil"/>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122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single" w:sz="8" w:space="0" w:color="F7C44A"/>
            </w:tcBorders>
            <w:shd w:val="clear" w:color="auto" w:fill="F7C44A"/>
            <w:vAlign w:val="bottom"/>
          </w:tcPr>
          <w:p w:rsidR="00CD158B" w:rsidRPr="00642156">
            <w:pPr>
              <w:widowControl w:val="0"/>
              <w:autoSpaceDE w:val="0"/>
              <w:autoSpaceDN w:val="0"/>
              <w:adjustRightInd w:val="0"/>
              <w:spacing w:after="0" w:line="240" w:lineRule="auto"/>
              <w:rPr>
                <w:rFonts w:ascii="Times New Roman" w:hAnsi="Times New Roman"/>
                <w:sz w:val="7"/>
                <w:szCs w:val="7"/>
              </w:rPr>
            </w:pPr>
          </w:p>
        </w:tc>
      </w:tr>
    </w:tbl>
    <w:p w:rsidR="00CD158B" w:rsidRPr="00642156">
      <w:pPr>
        <w:widowControl w:val="0"/>
        <w:autoSpaceDE w:val="0"/>
        <w:autoSpaceDN w:val="0"/>
        <w:adjustRightInd w:val="0"/>
        <w:spacing w:after="0" w:line="117" w:lineRule="exact"/>
        <w:rPr>
          <w:rFonts w:ascii="Times New Roman" w:hAnsi="Times New Roman"/>
          <w:sz w:val="24"/>
          <w:szCs w:val="24"/>
        </w:rPr>
      </w:pPr>
    </w:p>
    <w:p w:rsidR="00CD158B" w:rsidRPr="00642156">
      <w:pPr>
        <w:widowControl w:val="0"/>
        <w:autoSpaceDE w:val="0"/>
        <w:autoSpaceDN w:val="0"/>
        <w:adjustRightInd w:val="0"/>
        <w:spacing w:after="0" w:line="240" w:lineRule="auto"/>
        <w:ind w:left="3380"/>
        <w:rPr>
          <w:rFonts w:ascii="Times New Roman" w:hAnsi="Times New Roman"/>
          <w:sz w:val="24"/>
          <w:szCs w:val="24"/>
        </w:rPr>
      </w:pPr>
      <w:r w:rsidRPr="00642156">
        <w:rPr>
          <w:rFonts w:ascii="Arial" w:hAnsi="Arial" w:cs="Arial"/>
          <w:i/>
          <w:iCs/>
          <w:color w:val="1F1A17"/>
          <w:sz w:val="16"/>
          <w:szCs w:val="16"/>
        </w:rPr>
        <w:t>Kaynak: Türkiye İstatistik Kurumu</w:t>
      </w:r>
    </w:p>
    <w:p w:rsidR="00CD158B" w:rsidRPr="006C5A81">
      <w:pPr>
        <w:widowControl w:val="0"/>
        <w:autoSpaceDE w:val="0"/>
        <w:autoSpaceDN w:val="0"/>
        <w:adjustRightInd w:val="0"/>
        <w:spacing w:after="0" w:line="319" w:lineRule="exact"/>
        <w:rPr>
          <w:rFonts w:ascii="Times New Roman" w:hAnsi="Times New Roman"/>
          <w:sz w:val="24"/>
          <w:szCs w:val="24"/>
          <w:highlight w:val="yellow"/>
        </w:rPr>
      </w:pPr>
    </w:p>
    <w:p w:rsidR="00CD158B" w:rsidRPr="00C5234D">
      <w:pPr>
        <w:widowControl w:val="0"/>
        <w:overflowPunct w:val="0"/>
        <w:autoSpaceDE w:val="0"/>
        <w:autoSpaceDN w:val="0"/>
        <w:adjustRightInd w:val="0"/>
        <w:spacing w:after="0" w:line="276" w:lineRule="auto"/>
        <w:ind w:left="3380"/>
        <w:jc w:val="both"/>
        <w:rPr>
          <w:rFonts w:ascii="Times New Roman" w:hAnsi="Times New Roman"/>
          <w:sz w:val="24"/>
          <w:szCs w:val="24"/>
        </w:rPr>
      </w:pPr>
      <w:r w:rsidRPr="00C5234D">
        <w:rPr>
          <w:rFonts w:ascii="Arial" w:hAnsi="Arial" w:cs="Arial"/>
          <w:color w:val="1F1A17"/>
        </w:rPr>
        <w:t>2010 yılında Türkiye’nin en önemli tarımsal ürünleri tahıllar idi (32.7 milyon ton), bunları çeşitli sebze türleri takip etti (26 milyon ton), ardından da meyveler (16.6 milyon</w:t>
      </w:r>
      <w:r w:rsidR="006B0D54">
        <w:rPr>
          <w:rFonts w:ascii="Arial" w:hAnsi="Arial" w:cs="Arial"/>
          <w:color w:val="1F1A17"/>
        </w:rPr>
        <w:t xml:space="preserve"> ton). Tahılların çoğunu ise 19,</w:t>
      </w:r>
      <w:r w:rsidRPr="00C5234D">
        <w:rPr>
          <w:rFonts w:ascii="Arial" w:hAnsi="Arial" w:cs="Arial"/>
          <w:color w:val="1F1A17"/>
        </w:rPr>
        <w:t>6 milyon ton ile buğday ve arpa (</w:t>
      </w:r>
      <w:r w:rsidRPr="00C5234D" w:rsidR="006B0D54">
        <w:rPr>
          <w:rFonts w:ascii="Arial" w:hAnsi="Arial" w:cs="Arial"/>
          <w:color w:val="1F1A17"/>
        </w:rPr>
        <w:t>7,2</w:t>
      </w:r>
      <w:r w:rsidRPr="00C5234D">
        <w:rPr>
          <w:rFonts w:ascii="Arial" w:hAnsi="Arial" w:cs="Arial"/>
          <w:color w:val="1F1A17"/>
        </w:rPr>
        <w:t xml:space="preserve"> milyon ton) oluşturdu, meyvelerde ise üzümler birinci sıradaydı (4.103 milyon ton), ardından da elmalar ve narenciyeler izledi. Tahıl ve tahıl bazlı ürünler Devlet Planlama Teşkilatı’nın son analizlerine göre gıda üretiminin %8’ini oluşturdu. Türkiye ayrıca şu alanlarda önemli üreticilerdin biridir; İspanya</w:t>
      </w:r>
      <w:r w:rsidRPr="00C5234D" w:rsidR="00C5234D">
        <w:rPr>
          <w:rFonts w:ascii="Arial" w:hAnsi="Arial" w:cs="Arial"/>
          <w:color w:val="1F1A17"/>
        </w:rPr>
        <w:t>, İtalya, Yunanistan ve Tunus’tan</w:t>
      </w:r>
      <w:r w:rsidRPr="00C5234D">
        <w:rPr>
          <w:rFonts w:ascii="Arial" w:hAnsi="Arial" w:cs="Arial"/>
          <w:color w:val="1F1A17"/>
        </w:rPr>
        <w:t xml:space="preserve"> sonra zeytinyağı üretiminde 5’ncidir</w:t>
      </w:r>
      <w:r w:rsidRPr="00C5234D" w:rsidR="00C5234D">
        <w:rPr>
          <w:rFonts w:ascii="Arial" w:hAnsi="Arial" w:cs="Arial"/>
          <w:color w:val="1F1A17"/>
        </w:rPr>
        <w:t>, mandıra ürünlerindeyse yaklaşık 11 milyon ton ile süt pazarında üst düzey rekabetçilerden biridir.</w:t>
      </w:r>
    </w:p>
    <w:p w:rsidR="00CD158B" w:rsidRPr="00C5234D">
      <w:pPr>
        <w:widowControl w:val="0"/>
        <w:autoSpaceDE w:val="0"/>
        <w:autoSpaceDN w:val="0"/>
        <w:adjustRightInd w:val="0"/>
        <w:spacing w:after="0" w:line="222" w:lineRule="exact"/>
        <w:rPr>
          <w:rFonts w:ascii="Times New Roman" w:hAnsi="Times New Roman"/>
          <w:sz w:val="24"/>
          <w:szCs w:val="24"/>
        </w:rPr>
      </w:pPr>
    </w:p>
    <w:p w:rsidR="00CD158B" w:rsidRPr="00C5234D">
      <w:pPr>
        <w:widowControl w:val="0"/>
        <w:overflowPunct w:val="0"/>
        <w:autoSpaceDE w:val="0"/>
        <w:autoSpaceDN w:val="0"/>
        <w:adjustRightInd w:val="0"/>
        <w:spacing w:after="0" w:line="277" w:lineRule="auto"/>
        <w:ind w:left="3380"/>
        <w:jc w:val="both"/>
        <w:rPr>
          <w:rFonts w:ascii="Times New Roman" w:hAnsi="Times New Roman"/>
          <w:sz w:val="24"/>
          <w:szCs w:val="24"/>
        </w:rPr>
      </w:pPr>
      <w:r w:rsidRPr="00C5234D">
        <w:rPr>
          <w:rFonts w:ascii="Arial" w:hAnsi="Arial" w:cs="Arial"/>
          <w:color w:val="1F1A17"/>
        </w:rPr>
        <w:t xml:space="preserve">Türkiye büyük bir tarım ihracatçısıdır. Özellikle sebze ve </w:t>
      </w:r>
      <w:r w:rsidRPr="00C5234D" w:rsidR="006B0D54">
        <w:rPr>
          <w:rFonts w:ascii="Arial" w:hAnsi="Arial" w:cs="Arial"/>
          <w:color w:val="1F1A17"/>
        </w:rPr>
        <w:t>meyvelerde</w:t>
      </w:r>
      <w:r w:rsidRPr="00C5234D">
        <w:rPr>
          <w:rFonts w:ascii="Arial" w:hAnsi="Arial" w:cs="Arial"/>
          <w:color w:val="1F1A17"/>
        </w:rPr>
        <w:t xml:space="preserve"> ki Türkiye’nin işlenmiş gıda ve tarım ihracatının %46’sını oluşturur, dünya çapında bir üretici ve ihracatçıdır. Toplam ihracatta sebze yağlarının, </w:t>
      </w:r>
      <w:r w:rsidRPr="00C5234D" w:rsidR="006B0D54">
        <w:rPr>
          <w:rFonts w:ascii="Arial" w:hAnsi="Arial" w:cs="Arial"/>
          <w:color w:val="1F1A17"/>
        </w:rPr>
        <w:t>hazır giyim</w:t>
      </w:r>
      <w:r w:rsidRPr="00C5234D">
        <w:rPr>
          <w:rFonts w:ascii="Arial" w:hAnsi="Arial" w:cs="Arial"/>
          <w:color w:val="1F1A17"/>
        </w:rPr>
        <w:t xml:space="preserve"> ürünleri ve çikolata ürünlerinin payı artmaktadır. 177 ülkeye 1.530 gıda ve tarım ürünü ihraç etmektedir.</w:t>
      </w:r>
    </w:p>
    <w:p w:rsidR="00CD158B" w:rsidRPr="00C5234D">
      <w:pPr>
        <w:widowControl w:val="0"/>
        <w:autoSpaceDE w:val="0"/>
        <w:autoSpaceDN w:val="0"/>
        <w:adjustRightInd w:val="0"/>
        <w:spacing w:after="0" w:line="220" w:lineRule="exact"/>
        <w:rPr>
          <w:rFonts w:ascii="Times New Roman" w:hAnsi="Times New Roman"/>
          <w:sz w:val="24"/>
          <w:szCs w:val="24"/>
        </w:rPr>
      </w:pPr>
    </w:p>
    <w:p w:rsidR="00CD158B" w:rsidRPr="00C5234D">
      <w:pPr>
        <w:widowControl w:val="0"/>
        <w:overflowPunct w:val="0"/>
        <w:autoSpaceDE w:val="0"/>
        <w:autoSpaceDN w:val="0"/>
        <w:adjustRightInd w:val="0"/>
        <w:spacing w:after="0" w:line="277" w:lineRule="auto"/>
        <w:ind w:left="3380"/>
        <w:jc w:val="both"/>
        <w:rPr>
          <w:rFonts w:ascii="Times New Roman" w:hAnsi="Times New Roman"/>
          <w:sz w:val="24"/>
          <w:szCs w:val="24"/>
        </w:rPr>
      </w:pPr>
      <w:r w:rsidRPr="00C5234D">
        <w:rPr>
          <w:rFonts w:ascii="Arial" w:hAnsi="Arial" w:cs="Arial"/>
          <w:color w:val="1F1A17"/>
        </w:rPr>
        <w:t>2010 yılında Türk İhracatçılar Meclisi’nin raporuna göre Türkiye’nin tarım ve işlenmiş gıda ihracatı 12.055 milyar dolarda kalmıştır. Tarım ve gıda ihracatının büyük bir bölümü Avrupa Birliği ülkelerine satılmaktadır. Gıda ve tarım it</w:t>
      </w:r>
      <w:r w:rsidR="00F2122E">
        <w:rPr>
          <w:rFonts w:ascii="Arial" w:hAnsi="Arial" w:cs="Arial"/>
          <w:color w:val="1F1A17"/>
        </w:rPr>
        <w:t>h</w:t>
      </w:r>
      <w:r w:rsidRPr="00C5234D">
        <w:rPr>
          <w:rFonts w:ascii="Arial" w:hAnsi="Arial" w:cs="Arial"/>
          <w:color w:val="1F1A17"/>
        </w:rPr>
        <w:t>alatları, gıda endüstri</w:t>
      </w:r>
      <w:r w:rsidR="006B0D54">
        <w:rPr>
          <w:rFonts w:ascii="Arial" w:hAnsi="Arial" w:cs="Arial"/>
          <w:color w:val="1F1A17"/>
        </w:rPr>
        <w:t>sinden kalan artıklar ve atıklar</w:t>
      </w:r>
      <w:r w:rsidRPr="00C5234D">
        <w:rPr>
          <w:rFonts w:ascii="Arial" w:hAnsi="Arial" w:cs="Arial"/>
          <w:color w:val="1F1A17"/>
        </w:rPr>
        <w:t xml:space="preserve"> da </w:t>
      </w:r>
      <w:r w:rsidRPr="00C5234D" w:rsidR="006B0D54">
        <w:rPr>
          <w:rFonts w:ascii="Arial" w:hAnsi="Arial" w:cs="Arial"/>
          <w:color w:val="1F1A17"/>
        </w:rPr>
        <w:t>dâhil</w:t>
      </w:r>
      <w:r w:rsidRPr="00C5234D">
        <w:rPr>
          <w:rFonts w:ascii="Arial" w:hAnsi="Arial" w:cs="Arial"/>
          <w:color w:val="1F1A17"/>
        </w:rPr>
        <w:t xml:space="preserve"> olmak üzere 2010 yılında </w:t>
      </w:r>
      <w:r w:rsidRPr="00C5234D" w:rsidR="006B0D54">
        <w:rPr>
          <w:rFonts w:ascii="Arial" w:hAnsi="Arial" w:cs="Arial"/>
          <w:color w:val="1F1A17"/>
        </w:rPr>
        <w:t>7,2</w:t>
      </w:r>
      <w:r w:rsidRPr="00C5234D">
        <w:rPr>
          <w:rFonts w:ascii="Arial" w:hAnsi="Arial" w:cs="Arial"/>
          <w:color w:val="1F1A17"/>
        </w:rPr>
        <w:t xml:space="preserve"> milyar dolarda kalmıştır. Yağlı tohumlar, meyve, hayvansal yağlar ve bitkisel yağlar </w:t>
      </w:r>
      <w:r w:rsidRPr="00C5234D" w:rsidR="006B0D54">
        <w:rPr>
          <w:rFonts w:ascii="Arial" w:hAnsi="Arial" w:cs="Arial"/>
          <w:color w:val="1F1A17"/>
        </w:rPr>
        <w:t>ithalatın</w:t>
      </w:r>
      <w:r w:rsidRPr="00C5234D">
        <w:rPr>
          <w:rFonts w:ascii="Arial" w:hAnsi="Arial" w:cs="Arial"/>
          <w:color w:val="1F1A17"/>
        </w:rPr>
        <w:t xml:space="preserve"> %34’ünü oluşturmaktadır.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038" w:right="1120" w:bottom="320" w:left="0" w:header="708" w:footer="708" w:gutter="0"/>
          <w:cols w:space="708" w:equalWidth="0">
            <w:col w:w="113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17"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96"/>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038"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18" w:name="page96"/>
      <w:bookmarkEnd w:id="18"/>
      <w:r>
        <w:rPr>
          <w:noProof/>
          <w:highlight w:val="yellow"/>
        </w:rPr>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880350" cy="9446895"/>
            <wp:effectExtent l="0" t="0" r="0" b="0"/>
            <wp:wrapNone/>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759" name="Picture 104"/>
                    <pic:cNvPicPr>
                      <a:picLocks noChangeAspect="1" noChangeArrowheads="1"/>
                    </pic:cNvPicPr>
                  </pic:nvPicPr>
                  <pic:blipFill>
                    <a:blip xmlns:r="http://schemas.openxmlformats.org/officeDocument/2006/relationships" r:embed="rId7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A97AA1">
      <w:pPr>
        <w:widowControl w:val="0"/>
        <w:autoSpaceDE w:val="0"/>
        <w:autoSpaceDN w:val="0"/>
        <w:adjustRightInd w:val="0"/>
        <w:spacing w:after="0" w:line="229" w:lineRule="exact"/>
        <w:rPr>
          <w:rFonts w:ascii="Times New Roman" w:hAnsi="Times New Roman"/>
          <w:sz w:val="24"/>
          <w:szCs w:val="24"/>
        </w:rPr>
      </w:pPr>
    </w:p>
    <w:p w:rsidR="00CD158B" w:rsidRPr="00A97AA1">
      <w:pPr>
        <w:widowControl w:val="0"/>
        <w:overflowPunct w:val="0"/>
        <w:autoSpaceDE w:val="0"/>
        <w:autoSpaceDN w:val="0"/>
        <w:adjustRightInd w:val="0"/>
        <w:spacing w:after="0" w:line="277" w:lineRule="auto"/>
        <w:jc w:val="both"/>
        <w:rPr>
          <w:rFonts w:ascii="Times New Roman" w:hAnsi="Times New Roman"/>
          <w:sz w:val="24"/>
          <w:szCs w:val="24"/>
        </w:rPr>
      </w:pPr>
      <w:r w:rsidRPr="00A97AA1">
        <w:rPr>
          <w:rFonts w:ascii="Arial" w:hAnsi="Arial" w:cs="Arial"/>
          <w:color w:val="1F1A17"/>
        </w:rPr>
        <w:t xml:space="preserve">Hükümet 2023’e, Türkiye Cumhuriyeti’nin 100’ncü yıl dönümüne kadar tarım ve gıda ihracatını </w:t>
      </w:r>
      <w:r w:rsidRPr="00A97AA1" w:rsidR="006B0D54">
        <w:rPr>
          <w:rFonts w:ascii="Arial" w:hAnsi="Arial" w:cs="Arial"/>
          <w:color w:val="1F1A17"/>
        </w:rPr>
        <w:t>39,9</w:t>
      </w:r>
      <w:r w:rsidRPr="00A97AA1">
        <w:rPr>
          <w:rFonts w:ascii="Arial" w:hAnsi="Arial" w:cs="Arial"/>
          <w:color w:val="1F1A17"/>
        </w:rPr>
        <w:t xml:space="preserve"> milyar dolara çıkarma hedefindedir. Türk tarım sanayisinin değeri, gıda talebi, meşrubatlar ve tütünün kombinasyonu ile birlikte, Türkiye İstatistik Kurumuna (TUİK) göre 51 milyar dolar etmektedir.</w:t>
      </w:r>
    </w:p>
    <w:p w:rsidR="00CD158B" w:rsidRPr="00A97AA1">
      <w:pPr>
        <w:widowControl w:val="0"/>
        <w:autoSpaceDE w:val="0"/>
        <w:autoSpaceDN w:val="0"/>
        <w:adjustRightInd w:val="0"/>
        <w:spacing w:after="0" w:line="220" w:lineRule="exact"/>
        <w:rPr>
          <w:rFonts w:ascii="Times New Roman" w:hAnsi="Times New Roman"/>
          <w:sz w:val="24"/>
          <w:szCs w:val="24"/>
        </w:rPr>
      </w:pPr>
    </w:p>
    <w:p w:rsidR="00CD158B" w:rsidRPr="00A97AA1">
      <w:pPr>
        <w:widowControl w:val="0"/>
        <w:overflowPunct w:val="0"/>
        <w:autoSpaceDE w:val="0"/>
        <w:autoSpaceDN w:val="0"/>
        <w:adjustRightInd w:val="0"/>
        <w:spacing w:after="0" w:line="278" w:lineRule="auto"/>
        <w:jc w:val="both"/>
        <w:rPr>
          <w:rFonts w:ascii="Times New Roman" w:hAnsi="Times New Roman"/>
          <w:sz w:val="24"/>
          <w:szCs w:val="24"/>
        </w:rPr>
      </w:pPr>
      <w:r w:rsidRPr="00A97AA1">
        <w:rPr>
          <w:rFonts w:ascii="Arial" w:hAnsi="Arial" w:cs="Arial"/>
          <w:color w:val="1F1A17"/>
        </w:rPr>
        <w:t xml:space="preserve">Türkiye 2009’da tarım, avcılık, ormancılık ve </w:t>
      </w:r>
      <w:r w:rsidR="00D770EC">
        <w:rPr>
          <w:rFonts w:ascii="Arial" w:hAnsi="Arial" w:cs="Arial"/>
          <w:color w:val="1F1A17"/>
        </w:rPr>
        <w:t>su ürünleri</w:t>
      </w:r>
      <w:r w:rsidRPr="00A97AA1">
        <w:rPr>
          <w:rFonts w:ascii="Arial" w:hAnsi="Arial" w:cs="Arial"/>
          <w:color w:val="1F1A17"/>
        </w:rPr>
        <w:t xml:space="preserve"> alanında 49 milyon dolar doğrudan yabancı yatırım (DYY) elde </w:t>
      </w:r>
      <w:r w:rsidRPr="00A97AA1" w:rsidR="006B0D54">
        <w:rPr>
          <w:rFonts w:ascii="Arial" w:hAnsi="Arial" w:cs="Arial"/>
          <w:color w:val="1F1A17"/>
        </w:rPr>
        <w:t>etmiştir</w:t>
      </w:r>
      <w:r w:rsidRPr="00A97AA1">
        <w:rPr>
          <w:rFonts w:ascii="Arial" w:hAnsi="Arial" w:cs="Arial"/>
          <w:color w:val="1F1A17"/>
        </w:rPr>
        <w:t xml:space="preserve"> ki bu rakam Hazine Müsteşarlığı’nın raporlarına göre toplam DYY’nin o yıl içindeki yabancı yatırımın sadece %</w:t>
      </w:r>
      <w:r w:rsidRPr="00A97AA1" w:rsidR="006B0D54">
        <w:rPr>
          <w:rFonts w:ascii="Arial" w:hAnsi="Arial" w:cs="Arial"/>
          <w:color w:val="1F1A17"/>
        </w:rPr>
        <w:t>0,8’i</w:t>
      </w:r>
      <w:r w:rsidRPr="00A97AA1">
        <w:rPr>
          <w:rFonts w:ascii="Arial" w:hAnsi="Arial" w:cs="Arial"/>
          <w:color w:val="1F1A17"/>
        </w:rPr>
        <w:t xml:space="preserve"> etmektedir. Deloitte Türkiye’ye göre bunun sebebi “süregelen yapısal problemler, riskler, belirsizlikler ve hizmet sektörünün daha hızlı </w:t>
      </w:r>
      <w:r w:rsidRPr="00A97AA1" w:rsidR="006B0D54">
        <w:rPr>
          <w:rFonts w:ascii="Arial" w:hAnsi="Arial" w:cs="Arial"/>
          <w:color w:val="1F1A17"/>
        </w:rPr>
        <w:t>büyümesidir</w:t>
      </w:r>
      <w:r w:rsidRPr="00A97AA1">
        <w:rPr>
          <w:rFonts w:ascii="Arial" w:hAnsi="Arial" w:cs="Arial"/>
          <w:color w:val="1F1A17"/>
        </w:rPr>
        <w:t>.</w:t>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05" w:lineRule="exact"/>
        <w:rPr>
          <w:rFonts w:ascii="Times New Roman" w:hAnsi="Times New Roman"/>
          <w:sz w:val="24"/>
          <w:szCs w:val="24"/>
          <w:highlight w:val="yellow"/>
        </w:rPr>
      </w:pPr>
    </w:p>
    <w:p w:rsidR="00CD158B" w:rsidRPr="00FD6F41">
      <w:pPr>
        <w:widowControl w:val="0"/>
        <w:overflowPunct w:val="0"/>
        <w:autoSpaceDE w:val="0"/>
        <w:autoSpaceDN w:val="0"/>
        <w:adjustRightInd w:val="0"/>
        <w:spacing w:after="0" w:line="277" w:lineRule="auto"/>
        <w:jc w:val="both"/>
        <w:rPr>
          <w:rFonts w:ascii="Times New Roman" w:hAnsi="Times New Roman"/>
          <w:sz w:val="24"/>
          <w:szCs w:val="24"/>
        </w:rPr>
      </w:pPr>
      <w:r w:rsidRPr="00FD6F41">
        <w:rPr>
          <w:rFonts w:ascii="Arial" w:hAnsi="Arial" w:cs="Arial"/>
          <w:color w:val="1F1A17"/>
        </w:rPr>
        <w:t xml:space="preserve">Türkiye Avrupa Birliği (AB) üyeliği ve IMF’ye olan bağlılığı sebebiyle tarım sektörünü yeniden </w:t>
      </w:r>
      <w:r w:rsidRPr="00FD6F41" w:rsidR="006B0D54">
        <w:rPr>
          <w:rFonts w:ascii="Arial" w:hAnsi="Arial" w:cs="Arial"/>
          <w:color w:val="1F1A17"/>
        </w:rPr>
        <w:t>şekillendiriyor</w:t>
      </w:r>
      <w:r w:rsidRPr="00FD6F41">
        <w:rPr>
          <w:rFonts w:ascii="Arial" w:hAnsi="Arial" w:cs="Arial"/>
          <w:color w:val="1F1A17"/>
        </w:rPr>
        <w:t xml:space="preserve"> ve sektör de Türkiye’yi AB içinde ve küresel bazda büyük bir güç yapabilme kapasitesine sahip. 2000’den beri uygulanan yoğun tarım reformu daha rekabetçi bir tarım sektörü yaratırken devlet etkisini de azaltıyor. Dünya Bankası da bu projelere 600 milyon dolar kredi ile katkı yapıyor.</w:t>
      </w:r>
    </w:p>
    <w:p w:rsidR="00CD158B" w:rsidRPr="00FD6F41">
      <w:pPr>
        <w:widowControl w:val="0"/>
        <w:autoSpaceDE w:val="0"/>
        <w:autoSpaceDN w:val="0"/>
        <w:adjustRightInd w:val="0"/>
        <w:spacing w:after="0" w:line="218" w:lineRule="exact"/>
        <w:rPr>
          <w:rFonts w:ascii="Times New Roman" w:hAnsi="Times New Roman"/>
          <w:sz w:val="24"/>
          <w:szCs w:val="24"/>
        </w:rPr>
      </w:pPr>
    </w:p>
    <w:p w:rsidR="00CD158B" w:rsidRPr="00FD6F41">
      <w:pPr>
        <w:widowControl w:val="0"/>
        <w:overflowPunct w:val="0"/>
        <w:autoSpaceDE w:val="0"/>
        <w:autoSpaceDN w:val="0"/>
        <w:adjustRightInd w:val="0"/>
        <w:spacing w:after="0" w:line="276" w:lineRule="auto"/>
        <w:jc w:val="both"/>
        <w:rPr>
          <w:rFonts w:ascii="Times New Roman" w:hAnsi="Times New Roman"/>
          <w:sz w:val="24"/>
          <w:szCs w:val="24"/>
        </w:rPr>
      </w:pPr>
      <w:r w:rsidRPr="00FD6F41">
        <w:rPr>
          <w:rFonts w:ascii="Arial" w:hAnsi="Arial" w:cs="Arial"/>
          <w:color w:val="1F1A17"/>
        </w:rPr>
        <w:t>Sektör hacimsel, ürün çeşitliliği ve kalite bazında da hızlı bir şekilde büyüyor. Yurt içi talep artan gelir seviyesi ve yeni jenerasyonların değişen talep modelleri ile şekilleniyor. AB ile entegrasyon ve ayrıca Türkiye’nin küreselleşmesi ihracatı teşvik ediyor</w:t>
      </w:r>
      <w:r w:rsidRPr="00FD6F41">
        <w:rPr>
          <w:rFonts w:ascii="Arial" w:hAnsi="Arial" w:cs="Arial"/>
          <w:color w:val="1F1A17"/>
        </w:rPr>
        <w:t>.</w:t>
      </w:r>
      <w:r w:rsidRPr="00FD6F41">
        <w:rPr>
          <w:rFonts w:ascii="Arial" w:hAnsi="Arial" w:cs="Arial"/>
          <w:color w:val="1F1A17"/>
        </w:rPr>
        <w:t xml:space="preserve"> Uzun vadede Türkiye’nin katılımı ticareti iki yönlü olarak arttıracaktır çünkü AB üyeliği AB ürünlerine karşı korumacı politikaların sona ermesi demektir.</w:t>
      </w:r>
    </w:p>
    <w:p w:rsidR="00CD158B" w:rsidRPr="006C5A81">
      <w:pPr>
        <w:widowControl w:val="0"/>
        <w:autoSpaceDE w:val="0"/>
        <w:autoSpaceDN w:val="0"/>
        <w:adjustRightInd w:val="0"/>
        <w:spacing w:after="0" w:line="224" w:lineRule="exact"/>
        <w:rPr>
          <w:rFonts w:ascii="Times New Roman" w:hAnsi="Times New Roman"/>
          <w:sz w:val="24"/>
          <w:szCs w:val="24"/>
          <w:highlight w:val="yellow"/>
        </w:rPr>
      </w:pPr>
    </w:p>
    <w:p w:rsidR="00CD158B" w:rsidRPr="00D770EC">
      <w:pPr>
        <w:widowControl w:val="0"/>
        <w:overflowPunct w:val="0"/>
        <w:autoSpaceDE w:val="0"/>
        <w:autoSpaceDN w:val="0"/>
        <w:adjustRightInd w:val="0"/>
        <w:spacing w:after="0" w:line="276" w:lineRule="auto"/>
        <w:jc w:val="both"/>
        <w:rPr>
          <w:rFonts w:ascii="Times New Roman" w:hAnsi="Times New Roman"/>
          <w:sz w:val="24"/>
          <w:szCs w:val="24"/>
        </w:rPr>
      </w:pPr>
      <w:r w:rsidRPr="00D770EC">
        <w:rPr>
          <w:rFonts w:ascii="Arial" w:hAnsi="Arial" w:cs="Arial"/>
          <w:color w:val="1F1A17"/>
        </w:rPr>
        <w:t xml:space="preserve">Türkiye’deki tarım sektörünü domine eden çıktılar ile yabancı yatırımcıların başarısı düşük maliyetli tarım çıktılarıyla ilgilenen şirketler için büyük fırsatların varlığını gösteriyor. Fırsatlar hayvansal ürünlerde (süt ve et), su ürünlerinde, sebze ve meyve işlemesinde, </w:t>
      </w:r>
      <w:r w:rsidRPr="00D770EC" w:rsidR="006B0D54">
        <w:rPr>
          <w:rFonts w:ascii="Arial" w:hAnsi="Arial" w:cs="Arial"/>
          <w:color w:val="1F1A17"/>
        </w:rPr>
        <w:t>hazır giyim</w:t>
      </w:r>
      <w:r w:rsidRPr="00D770EC">
        <w:rPr>
          <w:rFonts w:ascii="Arial" w:hAnsi="Arial" w:cs="Arial"/>
          <w:color w:val="1F1A17"/>
        </w:rPr>
        <w:t xml:space="preserve"> ürünlerinde,</w:t>
      </w:r>
      <w:r w:rsidRPr="00D770EC" w:rsidR="00D770EC">
        <w:rPr>
          <w:rFonts w:ascii="Arial" w:hAnsi="Arial" w:cs="Arial"/>
          <w:color w:val="1F1A17"/>
        </w:rPr>
        <w:t xml:space="preserve"> makarna ve hamur işi ürünlerinde, bitkisel gıdalard</w:t>
      </w:r>
      <w:r w:rsidR="00D770EC">
        <w:rPr>
          <w:rFonts w:ascii="Arial" w:hAnsi="Arial" w:cs="Arial"/>
          <w:color w:val="1F1A17"/>
        </w:rPr>
        <w:t>a, işlenmiş organik gıdalarda,</w:t>
      </w:r>
      <w:r w:rsidRPr="00D770EC" w:rsidR="00D770EC">
        <w:rPr>
          <w:rFonts w:ascii="Arial" w:hAnsi="Arial" w:cs="Arial"/>
          <w:color w:val="1F1A17"/>
        </w:rPr>
        <w:t xml:space="preserve"> özellikle bitkisel yağlarda ve bağcılıkta kendilerini gösteriyor.</w:t>
      </w:r>
    </w:p>
    <w:p w:rsidR="00CD158B" w:rsidRPr="00D770EC">
      <w:pPr>
        <w:widowControl w:val="0"/>
        <w:autoSpaceDE w:val="0"/>
        <w:autoSpaceDN w:val="0"/>
        <w:adjustRightInd w:val="0"/>
        <w:spacing w:after="0" w:line="224" w:lineRule="exact"/>
        <w:rPr>
          <w:rFonts w:ascii="Times New Roman" w:hAnsi="Times New Roman"/>
          <w:sz w:val="24"/>
          <w:szCs w:val="24"/>
        </w:rPr>
      </w:pPr>
    </w:p>
    <w:p w:rsidR="00CD158B" w:rsidRPr="00D770EC">
      <w:pPr>
        <w:widowControl w:val="0"/>
        <w:overflowPunct w:val="0"/>
        <w:autoSpaceDE w:val="0"/>
        <w:autoSpaceDN w:val="0"/>
        <w:adjustRightInd w:val="0"/>
        <w:spacing w:after="0" w:line="277" w:lineRule="auto"/>
        <w:jc w:val="both"/>
        <w:rPr>
          <w:rFonts w:ascii="Times New Roman" w:hAnsi="Times New Roman"/>
          <w:sz w:val="24"/>
          <w:szCs w:val="24"/>
        </w:rPr>
      </w:pPr>
      <w:r w:rsidRPr="00D770EC">
        <w:rPr>
          <w:rFonts w:ascii="Arial" w:hAnsi="Arial" w:cs="Arial"/>
          <w:color w:val="1F1A17"/>
        </w:rPr>
        <w:t>Organik tarım teknikleri yeni bir odak olmaya başladı ve hükümet de organik gıda imalatı projelerini çok destekleyici bir tutum içerisinde. Türkiye Akdeniz bölgesindeki en büyük organik yetiştirme alanına sahip. En büyük avantajı ise organik tarımın çok düşük maliyetlerle ülkede faaliyete geçirilebilmesidir.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20"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237"/>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19" w:name="page97"/>
      <w:bookmarkEnd w:id="19"/>
      <w:r>
        <w:rPr>
          <w:noProof/>
          <w:highlight w:val="yellow"/>
        </w:rPr>
        <w:drawing>
          <wp:anchor distT="0" distB="0" distL="114300" distR="114300" simplePos="0" relativeHeight="251668480" behindDoc="1" locked="0" layoutInCell="0" allowOverlap="1">
            <wp:simplePos x="0" y="0"/>
            <wp:positionH relativeFrom="page">
              <wp:posOffset>0</wp:posOffset>
            </wp:positionH>
            <wp:positionV relativeFrom="page">
              <wp:posOffset>377190</wp:posOffset>
            </wp:positionV>
            <wp:extent cx="7880350" cy="9897110"/>
            <wp:effectExtent l="0" t="0" r="0" b="0"/>
            <wp:wrapNone/>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3480" name="Picture 105"/>
                    <pic:cNvPicPr>
                      <a:picLocks noChangeAspect="1" noChangeArrowheads="1"/>
                    </pic:cNvPicPr>
                  </pic:nvPicPr>
                  <pic:blipFill>
                    <a:blip xmlns:r="http://schemas.openxmlformats.org/officeDocument/2006/relationships" r:embed="rId7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897110"/>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D770EC">
      <w:pPr>
        <w:widowControl w:val="0"/>
        <w:autoSpaceDE w:val="0"/>
        <w:autoSpaceDN w:val="0"/>
        <w:adjustRightInd w:val="0"/>
        <w:spacing w:after="0" w:line="229" w:lineRule="exact"/>
        <w:rPr>
          <w:rFonts w:ascii="Times New Roman" w:hAnsi="Times New Roman"/>
          <w:sz w:val="24"/>
          <w:szCs w:val="24"/>
        </w:rPr>
      </w:pPr>
    </w:p>
    <w:p w:rsidR="00CD158B" w:rsidRPr="00D770EC">
      <w:pPr>
        <w:widowControl w:val="0"/>
        <w:overflowPunct w:val="0"/>
        <w:autoSpaceDE w:val="0"/>
        <w:autoSpaceDN w:val="0"/>
        <w:adjustRightInd w:val="0"/>
        <w:spacing w:after="0" w:line="277" w:lineRule="auto"/>
        <w:jc w:val="both"/>
        <w:rPr>
          <w:rFonts w:ascii="Times New Roman" w:hAnsi="Times New Roman"/>
          <w:sz w:val="24"/>
          <w:szCs w:val="24"/>
        </w:rPr>
      </w:pPr>
      <w:r w:rsidRPr="00D770EC">
        <w:rPr>
          <w:rFonts w:ascii="Arial" w:hAnsi="Arial" w:cs="Arial"/>
          <w:color w:val="1F1A17"/>
        </w:rPr>
        <w:t xml:space="preserve">İthalat pazarı 200 milyar doların üzerinde olan Orta Doğu’ya açılan bir kapıdır. GAP bölgesi, </w:t>
      </w:r>
      <w:r w:rsidRPr="00D770EC" w:rsidR="006B0D54">
        <w:rPr>
          <w:rFonts w:ascii="Arial" w:hAnsi="Arial" w:cs="Arial"/>
          <w:color w:val="1F1A17"/>
        </w:rPr>
        <w:t>210,3</w:t>
      </w:r>
      <w:r w:rsidRPr="00D770EC">
        <w:rPr>
          <w:rFonts w:ascii="Arial" w:hAnsi="Arial" w:cs="Arial"/>
          <w:color w:val="1F1A17"/>
        </w:rPr>
        <w:t xml:space="preserve"> milyon metrekarelik organik tarıma elverişli alanı </w:t>
      </w:r>
      <w:r w:rsidRPr="00D770EC" w:rsidR="006B0D54">
        <w:rPr>
          <w:rFonts w:ascii="Arial" w:hAnsi="Arial" w:cs="Arial"/>
          <w:color w:val="1F1A17"/>
        </w:rPr>
        <w:t>ile</w:t>
      </w:r>
      <w:r w:rsidRPr="00D770EC">
        <w:rPr>
          <w:rFonts w:ascii="Arial" w:hAnsi="Arial" w:cs="Arial"/>
          <w:color w:val="1F1A17"/>
        </w:rPr>
        <w:t xml:space="preserve"> organik tarım ve organik tekstil açısından eşi görülmemiş bir avantaj sağlarken, gıda ve meşrubat imalat endüstrileri için de mükemmel bir komuna sahiptir.</w:t>
      </w:r>
    </w:p>
    <w:p w:rsidR="00CD158B" w:rsidRPr="00D770EC">
      <w:pPr>
        <w:widowControl w:val="0"/>
        <w:autoSpaceDE w:val="0"/>
        <w:autoSpaceDN w:val="0"/>
        <w:adjustRightInd w:val="0"/>
        <w:spacing w:after="0" w:line="182" w:lineRule="exact"/>
        <w:rPr>
          <w:rFonts w:ascii="Times New Roman" w:hAnsi="Times New Roman"/>
          <w:sz w:val="24"/>
          <w:szCs w:val="24"/>
        </w:rPr>
      </w:pPr>
    </w:p>
    <w:p w:rsidR="00CD158B" w:rsidRPr="00D770EC">
      <w:pPr>
        <w:widowControl w:val="0"/>
        <w:autoSpaceDE w:val="0"/>
        <w:autoSpaceDN w:val="0"/>
        <w:adjustRightInd w:val="0"/>
        <w:spacing w:after="0" w:line="240" w:lineRule="auto"/>
        <w:rPr>
          <w:rFonts w:ascii="Times New Roman" w:hAnsi="Times New Roman"/>
          <w:sz w:val="24"/>
          <w:szCs w:val="24"/>
        </w:rPr>
      </w:pPr>
      <w:r w:rsidRPr="00D770EC">
        <w:rPr>
          <w:rFonts w:ascii="Arial" w:hAnsi="Arial" w:cs="Arial"/>
          <w:color w:val="E87817"/>
          <w:sz w:val="26"/>
          <w:szCs w:val="26"/>
        </w:rPr>
        <w:t>Hindistan</w:t>
      </w:r>
    </w:p>
    <w:p w:rsidR="00CD158B" w:rsidRPr="006C5A81">
      <w:pPr>
        <w:widowControl w:val="0"/>
        <w:autoSpaceDE w:val="0"/>
        <w:autoSpaceDN w:val="0"/>
        <w:adjustRightInd w:val="0"/>
        <w:spacing w:after="0" w:line="259" w:lineRule="exact"/>
        <w:rPr>
          <w:rFonts w:ascii="Times New Roman" w:hAnsi="Times New Roman"/>
          <w:sz w:val="24"/>
          <w:szCs w:val="24"/>
          <w:highlight w:val="yellow"/>
        </w:rPr>
      </w:pPr>
    </w:p>
    <w:p w:rsidR="00CD158B" w:rsidRPr="00305BF7">
      <w:pPr>
        <w:widowControl w:val="0"/>
        <w:overflowPunct w:val="0"/>
        <w:autoSpaceDE w:val="0"/>
        <w:autoSpaceDN w:val="0"/>
        <w:adjustRightInd w:val="0"/>
        <w:spacing w:after="0" w:line="277" w:lineRule="auto"/>
        <w:jc w:val="both"/>
        <w:rPr>
          <w:rFonts w:ascii="Times New Roman" w:hAnsi="Times New Roman"/>
          <w:sz w:val="24"/>
          <w:szCs w:val="24"/>
        </w:rPr>
      </w:pPr>
      <w:r w:rsidRPr="00305BF7">
        <w:rPr>
          <w:rFonts w:ascii="Arial" w:hAnsi="Arial" w:cs="Arial"/>
          <w:color w:val="1F1A17"/>
        </w:rPr>
        <w:t xml:space="preserve">Hindistan zengin bir tarımsal kaynak zeminine sahiptir. 2012’de Hindistan muz, mango, </w:t>
      </w:r>
      <w:r w:rsidRPr="00305BF7" w:rsidR="006B0D54">
        <w:rPr>
          <w:rFonts w:ascii="Arial" w:hAnsi="Arial" w:cs="Arial"/>
          <w:color w:val="1F1A17"/>
        </w:rPr>
        <w:t>kavun ağacı</w:t>
      </w:r>
      <w:r w:rsidRPr="00305BF7">
        <w:rPr>
          <w:rFonts w:ascii="Arial" w:hAnsi="Arial" w:cs="Arial"/>
          <w:color w:val="1F1A17"/>
        </w:rPr>
        <w:t xml:space="preserve"> meyvesi, nohut, ze</w:t>
      </w:r>
      <w:r w:rsidRPr="00305BF7" w:rsidR="00305BF7">
        <w:rPr>
          <w:rFonts w:ascii="Arial" w:hAnsi="Arial" w:cs="Arial"/>
          <w:color w:val="1F1A17"/>
        </w:rPr>
        <w:t>ncefil, bamya, süt (taze, sığır</w:t>
      </w:r>
      <w:r w:rsidRPr="00305BF7">
        <w:rPr>
          <w:rFonts w:ascii="Arial" w:hAnsi="Arial" w:cs="Arial"/>
          <w:color w:val="1F1A17"/>
        </w:rPr>
        <w:t xml:space="preserve"> ve keçi sütlerinin tamamı)</w:t>
      </w:r>
      <w:r w:rsidRPr="00305BF7" w:rsidR="00305BF7">
        <w:rPr>
          <w:rFonts w:ascii="Arial" w:hAnsi="Arial" w:cs="Arial"/>
          <w:color w:val="1F1A17"/>
        </w:rPr>
        <w:t xml:space="preserve"> ve sığır eti üretiminde dünyada 1’nciydi. Ayrıca Hindistan şekerpancarı, pirinç (çeltik), patates, tahıl, sarımsak, yer fıstığı (kabuklu), kuru soğan, yeşil bezelye, balkabağı, sukabağı, karnabahar, çay, domates, mercimek, buğday ve inek sütü üretiminde dünyada 2’nci sıradaydı.</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305BF7">
      <w:pPr>
        <w:widowControl w:val="0"/>
        <w:overflowPunct w:val="0"/>
        <w:autoSpaceDE w:val="0"/>
        <w:autoSpaceDN w:val="0"/>
        <w:adjustRightInd w:val="0"/>
        <w:spacing w:after="0" w:line="279" w:lineRule="auto"/>
        <w:jc w:val="both"/>
        <w:rPr>
          <w:rFonts w:ascii="Times New Roman" w:hAnsi="Times New Roman"/>
          <w:sz w:val="24"/>
          <w:szCs w:val="24"/>
        </w:rPr>
      </w:pPr>
      <w:r w:rsidRPr="00305BF7">
        <w:rPr>
          <w:rFonts w:ascii="Arial" w:hAnsi="Arial" w:cs="Arial"/>
          <w:color w:val="1F1A17"/>
        </w:rPr>
        <w:t xml:space="preserve">Toplam ekili alan 199 milyon hektar iken, bitki ekim yoğunluğu ise %140’tır. Net sulanan alan </w:t>
      </w:r>
      <w:r w:rsidRPr="00305BF7" w:rsidR="006B0D54">
        <w:rPr>
          <w:rFonts w:ascii="Arial" w:hAnsi="Arial" w:cs="Arial"/>
          <w:color w:val="1F1A17"/>
        </w:rPr>
        <w:t>89,9</w:t>
      </w:r>
      <w:r w:rsidRPr="00305BF7">
        <w:rPr>
          <w:rFonts w:ascii="Arial" w:hAnsi="Arial" w:cs="Arial"/>
          <w:color w:val="1F1A17"/>
        </w:rPr>
        <w:t xml:space="preserve"> milyon hektardır. </w:t>
      </w:r>
      <w:r w:rsidRPr="00305BF7" w:rsidR="006B0D54">
        <w:rPr>
          <w:rFonts w:ascii="Arial" w:hAnsi="Arial" w:cs="Arial"/>
          <w:color w:val="1F1A17"/>
        </w:rPr>
        <w:t>Hindistan’da</w:t>
      </w:r>
      <w:r w:rsidRPr="00305BF7">
        <w:rPr>
          <w:rFonts w:ascii="Arial" w:hAnsi="Arial" w:cs="Arial"/>
          <w:color w:val="1F1A17"/>
        </w:rPr>
        <w:t xml:space="preserve"> toplamda 127 tarımsal iklim bölgesi tespit edilmiştir.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985EAB">
      <w:pPr>
        <w:widowControl w:val="0"/>
        <w:overflowPunct w:val="0"/>
        <w:autoSpaceDE w:val="0"/>
        <w:autoSpaceDN w:val="0"/>
        <w:adjustRightInd w:val="0"/>
        <w:spacing w:after="0" w:line="276" w:lineRule="auto"/>
        <w:jc w:val="both"/>
        <w:rPr>
          <w:rFonts w:ascii="Times New Roman" w:hAnsi="Times New Roman"/>
          <w:sz w:val="24"/>
          <w:szCs w:val="24"/>
        </w:rPr>
      </w:pPr>
      <w:r w:rsidRPr="00985EAB">
        <w:rPr>
          <w:rFonts w:ascii="Arial" w:hAnsi="Arial" w:cs="Arial"/>
          <w:color w:val="1F1A17"/>
        </w:rPr>
        <w:t>Stratejik coğrafi konum ve gıda ithal eden ülkelere yakınlık Hindistan’ı işlenmiş gıda ihracatında avantajlı bir noktaya koyuyor. Hint gıda işleme endüstrisi ülkenin gıda pazarının %32’sini oluşturuyor. 121 milyar dolar değerinde olduğu tahmin edilirken, Hindistan’daki en büyük endüstrilerden biri olup, üretimde</w:t>
      </w:r>
      <w:r w:rsidRPr="00985EAB" w:rsidR="00F2122E">
        <w:rPr>
          <w:rFonts w:ascii="Arial" w:hAnsi="Arial" w:cs="Arial"/>
          <w:color w:val="1F1A17"/>
        </w:rPr>
        <w:t>, tüketimde ve ihracatta</w:t>
      </w:r>
      <w:r w:rsidRPr="00985EAB">
        <w:rPr>
          <w:rFonts w:ascii="Arial" w:hAnsi="Arial" w:cs="Arial"/>
          <w:color w:val="1F1A17"/>
        </w:rPr>
        <w:t xml:space="preserve"> 5’nci</w:t>
      </w:r>
      <w:r w:rsidRPr="00985EAB" w:rsidR="00F2122E">
        <w:rPr>
          <w:rFonts w:ascii="Arial" w:hAnsi="Arial" w:cs="Arial"/>
          <w:color w:val="1F1A17"/>
        </w:rPr>
        <w:t xml:space="preserve">dir. Endüstride 13 milyon kişi doğrudan </w:t>
      </w:r>
      <w:r w:rsidRPr="00985EAB" w:rsidR="006B0D54">
        <w:rPr>
          <w:rFonts w:ascii="Arial" w:hAnsi="Arial" w:cs="Arial"/>
          <w:color w:val="1F1A17"/>
        </w:rPr>
        <w:t>istihdam</w:t>
      </w:r>
      <w:r w:rsidRPr="00985EAB" w:rsidR="00F2122E">
        <w:rPr>
          <w:rFonts w:ascii="Arial" w:hAnsi="Arial" w:cs="Arial"/>
          <w:color w:val="1F1A17"/>
        </w:rPr>
        <w:t xml:space="preserve"> edilirken, 35 milyon da dolaylı yolda istihdam ediliyor. İmalat açısından GSH’nın %14’ünü kapsarken, Hindistan ithalatının neredeyse %13’ünü ve toplam endüstriyel yatırımların da %6’sını oluşturuyor.</w:t>
      </w:r>
      <w:r w:rsidRPr="00985EAB" w:rsidR="008F0161">
        <w:rPr>
          <w:rFonts w:ascii="Arial" w:hAnsi="Arial" w:cs="Arial"/>
          <w:color w:val="1F1A17"/>
        </w:rPr>
        <w:t xml:space="preserve"> Şu anda yıllık %10’dan fazla bir büyüme gözlemlenirken 2015’de 194 milyar dolara çıkması öngörülüyor.</w:t>
      </w:r>
    </w:p>
    <w:p w:rsidR="00CD158B" w:rsidRPr="006C5A81">
      <w:pPr>
        <w:widowControl w:val="0"/>
        <w:autoSpaceDE w:val="0"/>
        <w:autoSpaceDN w:val="0"/>
        <w:adjustRightInd w:val="0"/>
        <w:spacing w:after="0" w:line="222" w:lineRule="exact"/>
        <w:rPr>
          <w:rFonts w:ascii="Times New Roman" w:hAnsi="Times New Roman"/>
          <w:sz w:val="24"/>
          <w:szCs w:val="24"/>
          <w:highlight w:val="yellow"/>
        </w:rPr>
      </w:pPr>
    </w:p>
    <w:p w:rsidR="00CD158B" w:rsidRPr="00DA6E89">
      <w:pPr>
        <w:widowControl w:val="0"/>
        <w:overflowPunct w:val="0"/>
        <w:autoSpaceDE w:val="0"/>
        <w:autoSpaceDN w:val="0"/>
        <w:adjustRightInd w:val="0"/>
        <w:spacing w:after="0" w:line="276" w:lineRule="auto"/>
        <w:jc w:val="both"/>
        <w:rPr>
          <w:rFonts w:ascii="Times New Roman" w:hAnsi="Times New Roman"/>
          <w:sz w:val="24"/>
          <w:szCs w:val="24"/>
        </w:rPr>
      </w:pPr>
      <w:r w:rsidRPr="00DA6E89">
        <w:rPr>
          <w:rFonts w:ascii="Arial" w:hAnsi="Arial" w:cs="Arial"/>
          <w:color w:val="1F1A17"/>
        </w:rPr>
        <w:t xml:space="preserve">Liberalleşme ve organize perakendenin büyümesi Hindistan pazarını küresel oyuncular için cazip kılıyor. Sektördeki DYY’ler kayda değer bir şekilde artarken, kümülatif yatırım girişi Mayıs 2014 ile Nisan 2000 arası 5.89 milyar dolardır. Gıda sektöründeki büyük küresel oyuncular zaten Hindistanda bulunuyorlar. </w:t>
      </w:r>
      <w:r w:rsidRPr="00DA6E89" w:rsidR="006B0D54">
        <w:rPr>
          <w:rFonts w:ascii="Arial" w:hAnsi="Arial" w:cs="Arial"/>
          <w:color w:val="1F1A17"/>
        </w:rPr>
        <w:t>Hindistan’da</w:t>
      </w:r>
      <w:r w:rsidRPr="00DA6E89">
        <w:rPr>
          <w:rFonts w:ascii="Arial" w:hAnsi="Arial" w:cs="Arial"/>
          <w:color w:val="1F1A17"/>
        </w:rPr>
        <w:t xml:space="preserve"> var olan önemli çok uluslu şirketlerden bazıları Nestle, Pepsi, Coke, Kellogg’s, Delmonte, Conagro, Unilever, Wal-Mart, Perfetti, Glaxo Smith Kline, Heinz, WyethAjinomoto, Nissin Met, Le Bon Griffith Laboratories bunlardan </w:t>
      </w:r>
      <w:r w:rsidRPr="00DA6E89" w:rsidR="00106922">
        <w:rPr>
          <w:rFonts w:ascii="Arial" w:hAnsi="Arial" w:cs="Arial"/>
          <w:color w:val="1F1A17"/>
        </w:rPr>
        <w:t>bazılarıdır</w:t>
      </w:r>
      <w:r w:rsidRPr="00DA6E89">
        <w:rPr>
          <w:rFonts w:ascii="Arial" w:hAnsi="Arial" w:cs="Arial"/>
          <w:color w:val="1F1A17"/>
        </w:rPr>
        <w:t xml:space="preserve"> ve daha </w:t>
      </w:r>
      <w:r w:rsidRPr="00DA6E89" w:rsidR="006B0D54">
        <w:rPr>
          <w:rFonts w:ascii="Arial" w:hAnsi="Arial" w:cs="Arial"/>
          <w:color w:val="1F1A17"/>
        </w:rPr>
        <w:t>birçoğu</w:t>
      </w:r>
      <w:r w:rsidRPr="00DA6E89">
        <w:rPr>
          <w:rFonts w:ascii="Arial" w:hAnsi="Arial" w:cs="Arial"/>
          <w:color w:val="1F1A17"/>
        </w:rPr>
        <w:t xml:space="preserve"> da </w:t>
      </w:r>
      <w:r w:rsidRPr="00DA6E89" w:rsidR="00DA6E89">
        <w:rPr>
          <w:rFonts w:ascii="Arial" w:hAnsi="Arial" w:cs="Arial"/>
          <w:color w:val="1F1A17"/>
        </w:rPr>
        <w:t>hazırlık aşamasındadır.</w:t>
      </w:r>
    </w:p>
    <w:p w:rsidR="00CD158B" w:rsidRPr="006C5A81">
      <w:pPr>
        <w:widowControl w:val="0"/>
        <w:autoSpaceDE w:val="0"/>
        <w:autoSpaceDN w:val="0"/>
        <w:adjustRightInd w:val="0"/>
        <w:spacing w:after="0" w:line="223" w:lineRule="exact"/>
        <w:rPr>
          <w:rFonts w:ascii="Times New Roman" w:hAnsi="Times New Roman"/>
          <w:sz w:val="24"/>
          <w:szCs w:val="24"/>
          <w:highlight w:val="yellow"/>
        </w:rPr>
      </w:pPr>
    </w:p>
    <w:p w:rsidR="00CD158B" w:rsidRPr="00DA6E89">
      <w:pPr>
        <w:widowControl w:val="0"/>
        <w:overflowPunct w:val="0"/>
        <w:autoSpaceDE w:val="0"/>
        <w:autoSpaceDN w:val="0"/>
        <w:adjustRightInd w:val="0"/>
        <w:spacing w:after="0" w:line="277" w:lineRule="auto"/>
        <w:jc w:val="both"/>
        <w:rPr>
          <w:rFonts w:ascii="Times New Roman" w:hAnsi="Times New Roman"/>
          <w:sz w:val="24"/>
          <w:szCs w:val="24"/>
        </w:rPr>
      </w:pPr>
      <w:r w:rsidRPr="00DA6E89">
        <w:rPr>
          <w:rFonts w:ascii="Arial" w:hAnsi="Arial" w:cs="Arial"/>
          <w:color w:val="1F1A17"/>
        </w:rPr>
        <w:t xml:space="preserve">Hindistan’da </w:t>
      </w:r>
      <w:r>
        <w:rPr>
          <w:rFonts w:ascii="Arial" w:hAnsi="Arial" w:cs="Arial"/>
          <w:color w:val="1F1A17"/>
        </w:rPr>
        <w:t>doğrudan veya Hint ortakları</w:t>
      </w:r>
      <w:r w:rsidRPr="00DA6E89" w:rsidR="00DA6E89">
        <w:rPr>
          <w:rFonts w:ascii="Arial" w:hAnsi="Arial" w:cs="Arial"/>
          <w:color w:val="1F1A17"/>
        </w:rPr>
        <w:t xml:space="preserve"> ile ortaklaşa iş yapan </w:t>
      </w:r>
      <w:r w:rsidRPr="00DA6E89">
        <w:rPr>
          <w:rFonts w:ascii="Arial" w:hAnsi="Arial" w:cs="Arial"/>
          <w:color w:val="1F1A17"/>
        </w:rPr>
        <w:t>birçok</w:t>
      </w:r>
      <w:r w:rsidRPr="00DA6E89" w:rsidR="00DA6E89">
        <w:rPr>
          <w:rFonts w:ascii="Arial" w:hAnsi="Arial" w:cs="Arial"/>
          <w:color w:val="1F1A17"/>
        </w:rPr>
        <w:t xml:space="preserve"> yabancı oyuncu vardır. Örneğin McDonald’s</w:t>
      </w:r>
      <w:r w:rsidRPr="00DA6E89" w:rsidR="006B0D54">
        <w:rPr>
          <w:rFonts w:ascii="Arial" w:hAnsi="Arial" w:cs="Arial"/>
          <w:color w:val="1F1A17"/>
        </w:rPr>
        <w:t>Hindistan’da</w:t>
      </w:r>
      <w:r w:rsidRPr="00DA6E89" w:rsidR="00DA6E89">
        <w:rPr>
          <w:rFonts w:ascii="Arial" w:hAnsi="Arial" w:cs="Arial"/>
          <w:color w:val="1F1A17"/>
        </w:rPr>
        <w:t xml:space="preserve"> 2 ortaklık ile varlığını sağlar, ilki güney ve batı bölgelerinde Kalkınma Lisansı’nı kapsayacak bir biçimde, ikincisi de kuzey ve doğu bölgelerindeki ortak teşebbüs işlemleri ile.</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400"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96"/>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20" w:name="page98"/>
      <w:bookmarkEnd w:id="20"/>
      <w:r>
        <w:rPr>
          <w:noProof/>
          <w:highlight w:val="yellow"/>
        </w:rPr>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880350" cy="9446895"/>
            <wp:effectExtent l="0" t="0" r="0" b="0"/>
            <wp:wrapNone/>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3842" name="Picture 106"/>
                    <pic:cNvPicPr>
                      <a:picLocks noChangeAspect="1" noChangeArrowheads="1"/>
                    </pic:cNvPicPr>
                  </pic:nvPicPr>
                  <pic:blipFill>
                    <a:blip xmlns:r="http://schemas.openxmlformats.org/officeDocument/2006/relationships" r:embed="rId73">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9446895"/>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9D5E19">
      <w:pPr>
        <w:widowControl w:val="0"/>
        <w:overflowPunct w:val="0"/>
        <w:autoSpaceDE w:val="0"/>
        <w:autoSpaceDN w:val="0"/>
        <w:adjustRightInd w:val="0"/>
        <w:spacing w:after="0" w:line="277" w:lineRule="auto"/>
        <w:jc w:val="both"/>
        <w:rPr>
          <w:rFonts w:ascii="Times New Roman" w:hAnsi="Times New Roman"/>
          <w:sz w:val="24"/>
          <w:szCs w:val="24"/>
        </w:rPr>
      </w:pPr>
      <w:r w:rsidRPr="009D5E19">
        <w:rPr>
          <w:rFonts w:ascii="Arial" w:hAnsi="Arial" w:cs="Arial"/>
          <w:color w:val="1F1A17"/>
        </w:rPr>
        <w:t>ABD menşeili özel aktörler birliği fonu, New VernonPrivateEquity Limited (NVPEL), Kochi-merkezli baharat şirketi olan EasternCondiments’e, ki Eastern Grubu’nun önde gelen şirketidir, 45</w:t>
      </w:r>
      <w:r w:rsidR="00B0412A">
        <w:rPr>
          <w:rFonts w:ascii="Arial" w:hAnsi="Arial" w:cs="Arial"/>
          <w:color w:val="1F1A17"/>
        </w:rPr>
        <w:t xml:space="preserve"> milyon R</w:t>
      </w:r>
      <w:r w:rsidRPr="009D5E19">
        <w:rPr>
          <w:rFonts w:ascii="Arial" w:hAnsi="Arial" w:cs="Arial"/>
          <w:color w:val="1F1A17"/>
        </w:rPr>
        <w:t>upi yatırım yapma kararı aldı.Bir diğer örnek ise Amerika’nın en büyük çikolata ve konfeksiyon imalatçısı Hershey, GodrejBeveragesandFoods’un %51 hissesini 54 milyon dolara satın aldı.</w:t>
      </w:r>
    </w:p>
    <w:p w:rsidR="00CD158B" w:rsidRPr="006C5A81">
      <w:pPr>
        <w:widowControl w:val="0"/>
        <w:autoSpaceDE w:val="0"/>
        <w:autoSpaceDN w:val="0"/>
        <w:adjustRightInd w:val="0"/>
        <w:spacing w:after="0" w:line="220" w:lineRule="exact"/>
        <w:rPr>
          <w:rFonts w:ascii="Times New Roman" w:hAnsi="Times New Roman"/>
          <w:sz w:val="24"/>
          <w:szCs w:val="24"/>
          <w:highlight w:val="yellow"/>
        </w:rPr>
      </w:pPr>
    </w:p>
    <w:p w:rsidR="00CD158B" w:rsidRPr="009D5E19">
      <w:pPr>
        <w:widowControl w:val="0"/>
        <w:overflowPunct w:val="0"/>
        <w:autoSpaceDE w:val="0"/>
        <w:autoSpaceDN w:val="0"/>
        <w:adjustRightInd w:val="0"/>
        <w:spacing w:after="0" w:line="278" w:lineRule="auto"/>
        <w:jc w:val="both"/>
        <w:rPr>
          <w:rFonts w:ascii="Times New Roman" w:hAnsi="Times New Roman"/>
          <w:sz w:val="24"/>
          <w:szCs w:val="24"/>
        </w:rPr>
      </w:pPr>
      <w:r w:rsidRPr="009D5E19">
        <w:rPr>
          <w:rFonts w:ascii="Arial" w:hAnsi="Arial" w:cs="Arial"/>
          <w:color w:val="1F1A17"/>
        </w:rPr>
        <w:t>Büyük bir tarım sektörü, bol besi hayvanları, maliyet rekabetçiliği ile Hindistan işlenmiş gıda merkezi olma yolunda hızla ilerlemekte. İşlenmiş gıdaların ihracatı düzenli bir şekilde artmaya devam ediyor – ana ihracat hedefleri ise Orta Doğu ve Güney Doğu Asya.</w:t>
      </w:r>
    </w:p>
    <w:p w:rsidR="00CD158B" w:rsidRPr="009D5E19">
      <w:pPr>
        <w:widowControl w:val="0"/>
        <w:autoSpaceDE w:val="0"/>
        <w:autoSpaceDN w:val="0"/>
        <w:adjustRightInd w:val="0"/>
        <w:spacing w:after="0" w:line="218" w:lineRule="exact"/>
        <w:rPr>
          <w:rFonts w:ascii="Times New Roman" w:hAnsi="Times New Roman"/>
          <w:sz w:val="24"/>
          <w:szCs w:val="24"/>
        </w:rPr>
      </w:pPr>
    </w:p>
    <w:p w:rsidR="00CD158B" w:rsidRPr="009D5E19">
      <w:pPr>
        <w:widowControl w:val="0"/>
        <w:overflowPunct w:val="0"/>
        <w:autoSpaceDE w:val="0"/>
        <w:autoSpaceDN w:val="0"/>
        <w:adjustRightInd w:val="0"/>
        <w:spacing w:after="0" w:line="278" w:lineRule="auto"/>
        <w:jc w:val="both"/>
        <w:rPr>
          <w:rFonts w:ascii="Times New Roman" w:hAnsi="Times New Roman"/>
          <w:sz w:val="24"/>
          <w:szCs w:val="24"/>
        </w:rPr>
      </w:pPr>
      <w:r w:rsidRPr="009D5E19">
        <w:rPr>
          <w:rFonts w:ascii="Arial" w:hAnsi="Arial" w:cs="Arial"/>
          <w:color w:val="1F1A17"/>
        </w:rPr>
        <w:t>Hint gıda işleme endüstrisi tarımsal ürünler, süt ve süt ürünleri, et, kümes hayvancılığı, su ürünleri şeklinde ayrılmış durumda. İşlenmiş gıda sektöründeki ana endüstriyel kollar ise tahıl, şeker, yemeklik yaplar, meşrubatlar ve mandıra ürünleridir.</w:t>
      </w:r>
    </w:p>
    <w:p w:rsidR="00CD158B" w:rsidRPr="006C5A81">
      <w:pPr>
        <w:widowControl w:val="0"/>
        <w:autoSpaceDE w:val="0"/>
        <w:autoSpaceDN w:val="0"/>
        <w:adjustRightInd w:val="0"/>
        <w:spacing w:after="0" w:line="218" w:lineRule="exact"/>
        <w:rPr>
          <w:rFonts w:ascii="Times New Roman" w:hAnsi="Times New Roman"/>
          <w:sz w:val="24"/>
          <w:szCs w:val="24"/>
          <w:highlight w:val="yellow"/>
        </w:rPr>
      </w:pPr>
    </w:p>
    <w:p w:rsidR="00CD158B" w:rsidRPr="006C5A81">
      <w:pPr>
        <w:widowControl w:val="0"/>
        <w:overflowPunct w:val="0"/>
        <w:autoSpaceDE w:val="0"/>
        <w:autoSpaceDN w:val="0"/>
        <w:adjustRightInd w:val="0"/>
        <w:spacing w:after="0" w:line="276" w:lineRule="auto"/>
        <w:jc w:val="both"/>
        <w:rPr>
          <w:rFonts w:ascii="Times New Roman" w:hAnsi="Times New Roman"/>
          <w:sz w:val="24"/>
          <w:szCs w:val="24"/>
          <w:highlight w:val="yellow"/>
        </w:rPr>
      </w:pPr>
      <w:r w:rsidRPr="00EE1DB3">
        <w:rPr>
          <w:rFonts w:ascii="Arial" w:hAnsi="Arial" w:cs="Arial"/>
          <w:color w:val="1F1A17"/>
        </w:rPr>
        <w:t xml:space="preserve">Tarım ürünlerinde, özellikle muz, mango ve </w:t>
      </w:r>
      <w:r w:rsidRPr="00EE1DB3" w:rsidR="006B0D54">
        <w:rPr>
          <w:rFonts w:ascii="Arial" w:hAnsi="Arial" w:cs="Arial"/>
          <w:color w:val="1F1A17"/>
        </w:rPr>
        <w:t>kavun ağacı</w:t>
      </w:r>
      <w:r w:rsidRPr="00EE1DB3">
        <w:rPr>
          <w:rFonts w:ascii="Arial" w:hAnsi="Arial" w:cs="Arial"/>
          <w:color w:val="1F1A17"/>
        </w:rPr>
        <w:t xml:space="preserve"> meyvesi gibi bir takım meyvelerde Hindistan dünyadaki en büyük üretici konumundadır. Ayrıca sebze türlerinden patlıcan, lahana ve soğan üretiminde dünya 2’ncisidir. Diğer bir dünya 2’nciliği ise pirinç, buğday, şeker ve pamuk üretimindedir. Süt ve süt ürünleri üretiminde Hindistan küresel üretimin %20’sini elinde tutarak dünyadaki en büyük üretici konumundadır. Çiftlik hayvanları açısından ülke dünyadaki en geniş hayvan nüfusuna sahiptir; 2008 tahminlerine göre </w:t>
      </w:r>
      <w:r w:rsidRPr="00EE1DB3" w:rsidR="006B0D54">
        <w:rPr>
          <w:rFonts w:ascii="Arial" w:hAnsi="Arial" w:cs="Arial"/>
          <w:color w:val="1F1A17"/>
        </w:rPr>
        <w:t>98,7</w:t>
      </w:r>
      <w:r w:rsidRPr="00EE1DB3">
        <w:rPr>
          <w:rFonts w:ascii="Arial" w:hAnsi="Arial" w:cs="Arial"/>
          <w:color w:val="1F1A17"/>
        </w:rPr>
        <w:t xml:space="preserve"> milyon sığır ve 176 milyon inek </w:t>
      </w:r>
      <w:r w:rsidRPr="00B0412A">
        <w:rPr>
          <w:rFonts w:ascii="Arial" w:hAnsi="Arial" w:cs="Arial"/>
          <w:color w:val="1F1A17"/>
        </w:rPr>
        <w:t>bulunmaktadır.</w:t>
      </w:r>
    </w:p>
    <w:p w:rsidR="00CD158B" w:rsidRPr="006C5A81">
      <w:pPr>
        <w:widowControl w:val="0"/>
        <w:autoSpaceDE w:val="0"/>
        <w:autoSpaceDN w:val="0"/>
        <w:adjustRightInd w:val="0"/>
        <w:spacing w:after="0" w:line="224" w:lineRule="exact"/>
        <w:rPr>
          <w:rFonts w:ascii="Times New Roman" w:hAnsi="Times New Roman"/>
          <w:sz w:val="24"/>
          <w:szCs w:val="24"/>
          <w:highlight w:val="yellow"/>
        </w:rPr>
      </w:pPr>
    </w:p>
    <w:p w:rsidR="00CD158B" w:rsidRPr="00B0412A">
      <w:pPr>
        <w:widowControl w:val="0"/>
        <w:overflowPunct w:val="0"/>
        <w:autoSpaceDE w:val="0"/>
        <w:autoSpaceDN w:val="0"/>
        <w:adjustRightInd w:val="0"/>
        <w:spacing w:after="0" w:line="277" w:lineRule="auto"/>
        <w:jc w:val="both"/>
        <w:rPr>
          <w:rFonts w:ascii="Times New Roman" w:hAnsi="Times New Roman"/>
          <w:sz w:val="24"/>
          <w:szCs w:val="24"/>
        </w:rPr>
      </w:pPr>
      <w:r w:rsidRPr="00B0412A">
        <w:rPr>
          <w:rFonts w:ascii="Arial" w:hAnsi="Arial" w:cs="Arial"/>
          <w:color w:val="1F1A17"/>
        </w:rPr>
        <w:t xml:space="preserve">Küçük boyutlu sektörler için 12 ürün rezerve edilmiştir. Bunlar ekmek, unlu </w:t>
      </w:r>
      <w:r w:rsidRPr="00B0412A" w:rsidR="006B0D54">
        <w:rPr>
          <w:rFonts w:ascii="Arial" w:hAnsi="Arial" w:cs="Arial"/>
          <w:color w:val="1F1A17"/>
        </w:rPr>
        <w:t>mamuller</w:t>
      </w:r>
      <w:r w:rsidRPr="00B0412A">
        <w:rPr>
          <w:rFonts w:ascii="Arial" w:hAnsi="Arial" w:cs="Arial"/>
          <w:color w:val="1F1A17"/>
        </w:rPr>
        <w:t>, konfeksiyonlar, kolza tohumu yağı, hardal yağı, susam yağı, yer fıstığı yağı</w:t>
      </w:r>
      <w:r w:rsidRPr="00B0412A" w:rsidR="00B0412A">
        <w:rPr>
          <w:rFonts w:ascii="Arial" w:hAnsi="Arial" w:cs="Arial"/>
          <w:color w:val="1F1A17"/>
        </w:rPr>
        <w:t xml:space="preserve">, şekerli kaju fıstığı ürünleri, bunların yanında baharat yağı, yağ reçinesi </w:t>
      </w:r>
      <w:r w:rsidRPr="00B0412A" w:rsidR="006B0D54">
        <w:rPr>
          <w:rFonts w:ascii="Arial" w:hAnsi="Arial" w:cs="Arial"/>
          <w:color w:val="1F1A17"/>
        </w:rPr>
        <w:t>baharatı</w:t>
      </w:r>
      <w:r w:rsidRPr="00B0412A" w:rsidR="00B0412A">
        <w:rPr>
          <w:rFonts w:ascii="Arial" w:hAnsi="Arial" w:cs="Arial"/>
          <w:color w:val="1F1A17"/>
        </w:rPr>
        <w:t>, tapyoka irmiği ve tapyoka unu hariç diğer işlenmiş baharatlardır.</w:t>
      </w:r>
    </w:p>
    <w:p w:rsidR="00CD158B" w:rsidRPr="006C5A81">
      <w:pPr>
        <w:widowControl w:val="0"/>
        <w:autoSpaceDE w:val="0"/>
        <w:autoSpaceDN w:val="0"/>
        <w:adjustRightInd w:val="0"/>
        <w:spacing w:after="0" w:line="220" w:lineRule="exact"/>
        <w:rPr>
          <w:rFonts w:ascii="Times New Roman" w:hAnsi="Times New Roman"/>
          <w:sz w:val="24"/>
          <w:szCs w:val="24"/>
          <w:highlight w:val="yellow"/>
        </w:rPr>
      </w:pPr>
    </w:p>
    <w:p w:rsidR="00CD158B" w:rsidRPr="00B0412A">
      <w:pPr>
        <w:widowControl w:val="0"/>
        <w:overflowPunct w:val="0"/>
        <w:autoSpaceDE w:val="0"/>
        <w:autoSpaceDN w:val="0"/>
        <w:adjustRightInd w:val="0"/>
        <w:spacing w:after="0" w:line="278" w:lineRule="auto"/>
        <w:jc w:val="both"/>
        <w:rPr>
          <w:rFonts w:ascii="Times New Roman" w:hAnsi="Times New Roman"/>
          <w:sz w:val="24"/>
          <w:szCs w:val="24"/>
        </w:rPr>
      </w:pPr>
      <w:r w:rsidRPr="00B0412A">
        <w:rPr>
          <w:rFonts w:ascii="Arial" w:hAnsi="Arial" w:cs="Arial"/>
          <w:color w:val="1F1A17"/>
        </w:rPr>
        <w:t>UNIDO Hindistan’da 60’tan fazla, küçük ve orta boyutlu şirketlerden oluşan, gıda işleme kümesi tespit etmiştir. Devlet tarafından dağıtılan şirket kümelerinin en yoğun olduğu yerler Maharashtra ve Gujarat’tadır, bunları AndhraPrad</w:t>
      </w:r>
      <w:r w:rsidR="008D25BD">
        <w:rPr>
          <w:rFonts w:ascii="Arial" w:hAnsi="Arial" w:cs="Arial"/>
          <w:color w:val="1F1A17"/>
        </w:rPr>
        <w:t>esh, Punjab ve Orissa takip etmektedir</w:t>
      </w:r>
      <w:r w:rsidRPr="00B0412A">
        <w:rPr>
          <w:rFonts w:ascii="Arial" w:hAnsi="Arial" w:cs="Arial"/>
          <w:color w:val="1F1A17"/>
        </w:rPr>
        <w:t>.</w:t>
      </w:r>
    </w:p>
    <w:p w:rsidR="00CD158B" w:rsidRPr="00F50566">
      <w:pPr>
        <w:widowControl w:val="0"/>
        <w:autoSpaceDE w:val="0"/>
        <w:autoSpaceDN w:val="0"/>
        <w:adjustRightInd w:val="0"/>
        <w:spacing w:after="0" w:line="218" w:lineRule="exact"/>
        <w:rPr>
          <w:rFonts w:ascii="Times New Roman" w:hAnsi="Times New Roman"/>
          <w:sz w:val="24"/>
          <w:szCs w:val="24"/>
        </w:rPr>
      </w:pPr>
    </w:p>
    <w:p w:rsidR="00CD158B" w:rsidRPr="00F50566">
      <w:pPr>
        <w:widowControl w:val="0"/>
        <w:overflowPunct w:val="0"/>
        <w:autoSpaceDE w:val="0"/>
        <w:autoSpaceDN w:val="0"/>
        <w:adjustRightInd w:val="0"/>
        <w:spacing w:after="0" w:line="277" w:lineRule="auto"/>
        <w:jc w:val="both"/>
        <w:rPr>
          <w:rFonts w:ascii="Times New Roman" w:hAnsi="Times New Roman"/>
          <w:sz w:val="24"/>
          <w:szCs w:val="24"/>
        </w:rPr>
      </w:pPr>
      <w:r w:rsidRPr="00F50566">
        <w:rPr>
          <w:rFonts w:ascii="Arial" w:hAnsi="Arial" w:cs="Arial"/>
          <w:color w:val="1F1A17"/>
        </w:rPr>
        <w:t>Yatırım açısından t</w:t>
      </w:r>
      <w:r w:rsidRPr="00F50566" w:rsidR="00B0412A">
        <w:rPr>
          <w:rFonts w:ascii="Arial" w:hAnsi="Arial" w:cs="Arial"/>
          <w:color w:val="1F1A17"/>
        </w:rPr>
        <w:t xml:space="preserve">oplamda 98 milyar Rupi değerinde, kırk iki </w:t>
      </w:r>
      <w:r w:rsidRPr="00F50566">
        <w:rPr>
          <w:rFonts w:ascii="Arial" w:hAnsi="Arial" w:cs="Arial"/>
          <w:color w:val="1F1A17"/>
        </w:rPr>
        <w:t>Mega Gıda Parkı devlet-özel sektör işbirliği</w:t>
      </w:r>
      <w:r w:rsidR="008D25BD">
        <w:rPr>
          <w:rFonts w:ascii="Arial" w:hAnsi="Arial" w:cs="Arial"/>
          <w:color w:val="1F1A17"/>
        </w:rPr>
        <w:t xml:space="preserve"> ile birlikte hayata geçirilmektedir</w:t>
      </w:r>
      <w:r w:rsidRPr="00F50566">
        <w:rPr>
          <w:rFonts w:ascii="Arial" w:hAnsi="Arial" w:cs="Arial"/>
          <w:color w:val="1F1A17"/>
        </w:rPr>
        <w:t>. Parklar 1200 civarı bayındır arsalara sahip olmakla birlikte, yatırımcıların gıda işleme ve yan ürün üretimine geçebilmeleri için kiralayabilecekleri temel altyapıya da sahip</w:t>
      </w:r>
      <w:r w:rsidR="008D25BD">
        <w:rPr>
          <w:rFonts w:ascii="Arial" w:hAnsi="Arial" w:cs="Arial"/>
          <w:color w:val="1F1A17"/>
        </w:rPr>
        <w:t>tir</w:t>
      </w:r>
      <w:r w:rsidRPr="00F50566">
        <w:rPr>
          <w:rFonts w:ascii="Arial" w:hAnsi="Arial" w:cs="Arial"/>
          <w:color w:val="1F1A17"/>
        </w:rPr>
        <w:t xml:space="preserve">. 121 soğuk zincir projesi de </w:t>
      </w:r>
      <w:r w:rsidRPr="00F50566" w:rsidR="006B0D54">
        <w:rPr>
          <w:rFonts w:ascii="Arial" w:hAnsi="Arial" w:cs="Arial"/>
          <w:color w:val="1F1A17"/>
        </w:rPr>
        <w:t>Hindistan’daki</w:t>
      </w:r>
      <w:r w:rsidRPr="00F50566">
        <w:rPr>
          <w:rFonts w:ascii="Arial" w:hAnsi="Arial" w:cs="Arial"/>
          <w:color w:val="1F1A17"/>
        </w:rPr>
        <w:t xml:space="preserve"> Tedarik Zinciri altyapısını kalkındırma</w:t>
      </w:r>
      <w:r w:rsidR="008D25BD">
        <w:rPr>
          <w:rFonts w:ascii="Arial" w:hAnsi="Arial" w:cs="Arial"/>
          <w:color w:val="1F1A17"/>
        </w:rPr>
        <w:t xml:space="preserve"> amacıyla faaliyete hazırlanmaktadır</w:t>
      </w:r>
      <w:r w:rsidRPr="00F50566">
        <w:rPr>
          <w:rFonts w:ascii="Arial" w:hAnsi="Arial" w:cs="Arial"/>
          <w:color w:val="1F1A17"/>
        </w:rPr>
        <w:t>.</w:t>
      </w:r>
    </w:p>
    <w:p w:rsidR="00CD158B" w:rsidRPr="006C5A81">
      <w:pPr>
        <w:widowControl w:val="0"/>
        <w:autoSpaceDE w:val="0"/>
        <w:autoSpaceDN w:val="0"/>
        <w:adjustRightInd w:val="0"/>
        <w:spacing w:after="0" w:line="220" w:lineRule="exact"/>
        <w:rPr>
          <w:rFonts w:ascii="Times New Roman" w:hAnsi="Times New Roman"/>
          <w:sz w:val="24"/>
          <w:szCs w:val="24"/>
          <w:highlight w:val="yellow"/>
        </w:rPr>
      </w:pPr>
    </w:p>
    <w:p w:rsidR="00CD158B" w:rsidRPr="00EE1DB3">
      <w:pPr>
        <w:widowControl w:val="0"/>
        <w:overflowPunct w:val="0"/>
        <w:autoSpaceDE w:val="0"/>
        <w:autoSpaceDN w:val="0"/>
        <w:adjustRightInd w:val="0"/>
        <w:spacing w:after="0" w:line="279" w:lineRule="auto"/>
        <w:jc w:val="both"/>
        <w:rPr>
          <w:rFonts w:ascii="Times New Roman" w:hAnsi="Times New Roman"/>
          <w:sz w:val="24"/>
          <w:szCs w:val="24"/>
        </w:rPr>
      </w:pPr>
      <w:r w:rsidRPr="00EE1DB3">
        <w:rPr>
          <w:rFonts w:ascii="Arial" w:hAnsi="Arial" w:cs="Arial"/>
          <w:color w:val="1F1A17"/>
        </w:rPr>
        <w:t xml:space="preserve">Hindistan hükümeti, işlenmiş gıda, tarımsal ürünler, süt ve süt ürünleri, su ürünleri ve et ürünler imalatında bilgilendirme / beyan sistemi </w:t>
      </w:r>
      <w:r w:rsidR="008D25BD">
        <w:rPr>
          <w:rFonts w:ascii="Arial" w:hAnsi="Arial" w:cs="Arial"/>
          <w:color w:val="1F1A17"/>
        </w:rPr>
        <w:t>altında %100 DYY’ye izin vermektedir</w:t>
      </w:r>
      <w:r w:rsidRPr="00EE1DB3">
        <w:rPr>
          <w:rFonts w:ascii="Arial" w:hAnsi="Arial" w:cs="Arial"/>
          <w:color w:val="1F1A17"/>
        </w:rPr>
        <w:t>.</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pgSz w:w="12420" w:h="16180"/>
          <w:pgMar w:top="1440" w:right="1120" w:bottom="320" w:left="3380" w:header="708" w:footer="708" w:gutter="0"/>
          <w:cols w:space="708" w:equalWidth="0">
            <w:col w:w="792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p>
    <w:p w:rsidR="00CD158B" w:rsidRPr="006C5A81">
      <w:pPr>
        <w:widowControl w:val="0"/>
        <w:autoSpaceDE w:val="0"/>
        <w:autoSpaceDN w:val="0"/>
        <w:adjustRightInd w:val="0"/>
        <w:spacing w:after="0" w:line="367" w:lineRule="exact"/>
        <w:rPr>
          <w:rFonts w:ascii="Times New Roman" w:hAnsi="Times New Roman"/>
          <w:sz w:val="24"/>
          <w:szCs w:val="24"/>
          <w:highlight w:val="yellow"/>
        </w:rPr>
      </w:pPr>
    </w:p>
    <w:p w:rsidR="00CD158B" w:rsidRPr="006C5A81" w:rsidP="00303E99">
      <w:pPr>
        <w:widowControl w:val="0"/>
        <w:autoSpaceDE w:val="0"/>
        <w:autoSpaceDN w:val="0"/>
        <w:adjustRightInd w:val="0"/>
        <w:spacing w:after="0" w:line="240" w:lineRule="auto"/>
        <w:ind w:right="-96"/>
        <w:rPr>
          <w:rFonts w:ascii="Times New Roman" w:hAnsi="Times New Roman"/>
          <w:sz w:val="24"/>
          <w:szCs w:val="24"/>
          <w:highlight w:val="yellow"/>
        </w:rPr>
      </w:pPr>
      <w:r w:rsidRPr="00303E99">
        <w:rPr>
          <w:rFonts w:ascii="Arial" w:hAnsi="Arial" w:cs="Arial"/>
          <w:color w:val="1F1A17"/>
          <w:sz w:val="17"/>
          <w:szCs w:val="17"/>
        </w:rPr>
        <w:t>HİNDİSTAN</w:t>
      </w:r>
      <w:r>
        <w:rPr>
          <w:rFonts w:ascii="Arial" w:hAnsi="Arial" w:cs="Arial"/>
          <w:color w:val="1F1A17"/>
          <w:sz w:val="17"/>
          <w:szCs w:val="17"/>
        </w:rPr>
        <w:t>-TÜRKİYE Ticari ve Ekonomik İlişkiler: Geleceğe dair Beklentiler</w:t>
      </w:r>
    </w:p>
    <w:p w:rsidR="00CD158B" w:rsidRPr="006C5A81">
      <w:pPr>
        <w:widowControl w:val="0"/>
        <w:autoSpaceDE w:val="0"/>
        <w:autoSpaceDN w:val="0"/>
        <w:adjustRightInd w:val="0"/>
        <w:spacing w:after="0" w:line="240" w:lineRule="auto"/>
        <w:rPr>
          <w:rFonts w:ascii="Times New Roman" w:hAnsi="Times New Roman"/>
          <w:sz w:val="24"/>
          <w:szCs w:val="24"/>
          <w:highlight w:val="yellow"/>
        </w:rPr>
        <w:sectPr>
          <w:type w:val="continuous"/>
          <w:pgSz w:w="12420" w:h="16180"/>
          <w:pgMar w:top="1440" w:right="4980" w:bottom="320" w:left="1440" w:header="708" w:footer="708" w:gutter="0"/>
          <w:cols w:space="708" w:equalWidth="0">
            <w:col w:w="6000"/>
          </w:cols>
          <w:noEndnote/>
        </w:sectPr>
      </w:pPr>
    </w:p>
    <w:p w:rsidR="00CD158B" w:rsidRPr="006C5A81">
      <w:pPr>
        <w:widowControl w:val="0"/>
        <w:autoSpaceDE w:val="0"/>
        <w:autoSpaceDN w:val="0"/>
        <w:adjustRightInd w:val="0"/>
        <w:spacing w:after="0" w:line="200" w:lineRule="exact"/>
        <w:rPr>
          <w:rFonts w:ascii="Times New Roman" w:hAnsi="Times New Roman"/>
          <w:sz w:val="24"/>
          <w:szCs w:val="24"/>
          <w:highlight w:val="yellow"/>
        </w:rPr>
      </w:pPr>
      <w:bookmarkStart w:id="21" w:name="page99"/>
      <w:bookmarkEnd w:id="21"/>
      <w:r>
        <w:rPr>
          <w:noProof/>
          <w:highlight w:val="yellow"/>
        </w:rPr>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880350" cy="10274300"/>
            <wp:effectExtent l="0" t="0" r="0"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16232" name="Picture 107"/>
                    <pic:cNvPicPr>
                      <a:picLocks noChangeAspect="1" noChangeArrowheads="1"/>
                    </pic:cNvPicPr>
                  </pic:nvPicPr>
                  <pic:blipFill>
                    <a:blip xmlns:r="http://schemas.openxmlformats.org/officeDocument/2006/relationships" r:embed="rId7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7880350" cy="10274300"/>
                    </a:xfrm>
                    <a:prstGeom prst="rect">
                      <a:avLst/>
                    </a:prstGeom>
                    <a:noFill/>
                  </pic:spPr>
                </pic:pic>
              </a:graphicData>
            </a:graphic>
            <wp14:sizeRelH relativeFrom="page">
              <wp14:pctWidth>0</wp14:pctWidth>
            </wp14:sizeRelH>
            <wp14:sizeRelV relativeFrom="page">
              <wp14:pctHeight>0</wp14:pctHeight>
            </wp14:sizeRelV>
          </wp:anchor>
        </w:drawing>
      </w:r>
    </w:p>
    <w:p w:rsidR="00CD158B" w:rsidRPr="00162D10">
      <w:pPr>
        <w:widowControl w:val="0"/>
        <w:autoSpaceDE w:val="0"/>
        <w:autoSpaceDN w:val="0"/>
        <w:adjustRightInd w:val="0"/>
        <w:spacing w:after="0" w:line="200" w:lineRule="exact"/>
        <w:rPr>
          <w:rFonts w:ascii="Times New Roman" w:hAnsi="Times New Roman"/>
          <w:sz w:val="24"/>
          <w:szCs w:val="24"/>
          <w:highlight w:val="red"/>
        </w:rPr>
      </w:pPr>
    </w:p>
    <w:p w:rsidR="00CD158B" w:rsidRPr="00162D10">
      <w:pPr>
        <w:widowControl w:val="0"/>
        <w:autoSpaceDE w:val="0"/>
        <w:autoSpaceDN w:val="0"/>
        <w:adjustRightInd w:val="0"/>
        <w:spacing w:after="0" w:line="200" w:lineRule="exact"/>
        <w:rPr>
          <w:rFonts w:ascii="Times New Roman" w:hAnsi="Times New Roman"/>
          <w:sz w:val="24"/>
          <w:szCs w:val="24"/>
          <w:highlight w:val="red"/>
        </w:rPr>
      </w:pPr>
    </w:p>
    <w:p w:rsidR="00CD158B" w:rsidRPr="00162D10">
      <w:pPr>
        <w:widowControl w:val="0"/>
        <w:autoSpaceDE w:val="0"/>
        <w:autoSpaceDN w:val="0"/>
        <w:adjustRightInd w:val="0"/>
        <w:spacing w:after="0" w:line="200" w:lineRule="exact"/>
        <w:rPr>
          <w:rFonts w:ascii="Times New Roman" w:hAnsi="Times New Roman"/>
          <w:sz w:val="24"/>
          <w:szCs w:val="24"/>
          <w:highlight w:val="red"/>
        </w:rPr>
      </w:pPr>
    </w:p>
    <w:p w:rsidR="00CD158B" w:rsidRPr="00162D10">
      <w:pPr>
        <w:widowControl w:val="0"/>
        <w:autoSpaceDE w:val="0"/>
        <w:autoSpaceDN w:val="0"/>
        <w:adjustRightInd w:val="0"/>
        <w:spacing w:after="0" w:line="200" w:lineRule="exact"/>
        <w:rPr>
          <w:rFonts w:ascii="Times New Roman" w:hAnsi="Times New Roman"/>
          <w:sz w:val="24"/>
          <w:szCs w:val="24"/>
          <w:highlight w:val="red"/>
        </w:rPr>
      </w:pPr>
    </w:p>
    <w:p w:rsidR="00CD158B" w:rsidRPr="00162D10">
      <w:pPr>
        <w:widowControl w:val="0"/>
        <w:autoSpaceDE w:val="0"/>
        <w:autoSpaceDN w:val="0"/>
        <w:adjustRightInd w:val="0"/>
        <w:spacing w:after="0" w:line="200" w:lineRule="exact"/>
        <w:rPr>
          <w:rFonts w:ascii="Times New Roman" w:hAnsi="Times New Roman"/>
          <w:sz w:val="24"/>
          <w:szCs w:val="24"/>
          <w:highlight w:val="red"/>
        </w:rPr>
      </w:pPr>
    </w:p>
    <w:p w:rsidR="00CD158B" w:rsidRPr="00162D10">
      <w:pPr>
        <w:widowControl w:val="0"/>
        <w:autoSpaceDE w:val="0"/>
        <w:autoSpaceDN w:val="0"/>
        <w:adjustRightInd w:val="0"/>
        <w:spacing w:after="0" w:line="312" w:lineRule="exact"/>
        <w:rPr>
          <w:rFonts w:ascii="Times New Roman" w:hAnsi="Times New Roman"/>
          <w:sz w:val="24"/>
          <w:szCs w:val="24"/>
          <w:highlight w:val="red"/>
        </w:rPr>
      </w:pPr>
    </w:p>
    <w:p w:rsidR="00CD158B">
      <w:pPr>
        <w:widowControl w:val="0"/>
        <w:autoSpaceDE w:val="0"/>
        <w:autoSpaceDN w:val="0"/>
        <w:adjustRightInd w:val="0"/>
        <w:spacing w:after="0" w:line="240" w:lineRule="auto"/>
        <w:ind w:left="800"/>
        <w:rPr>
          <w:rFonts w:ascii="Times New Roman" w:hAnsi="Times New Roman"/>
          <w:sz w:val="24"/>
          <w:szCs w:val="24"/>
        </w:rPr>
      </w:pPr>
    </w:p>
    <w:sectPr w:rsidSect="005958FE">
      <w:pgSz w:w="12420" w:h="16180"/>
      <w:pgMar w:top="1440" w:right="4540" w:bottom="782" w:left="4540" w:header="708" w:footer="708" w:gutter="0"/>
      <w:cols w:space="708" w:equalWidth="0">
        <w:col w:w="3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29"/>
    <w:multiLevelType w:val="hybridMultilevel"/>
    <w:tmpl w:val="00004823"/>
    <w:lvl w:ilvl="0">
      <w:start w:val="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0000732"/>
    <w:multiLevelType w:val="hybridMultilevel"/>
    <w:tmpl w:val="00000120"/>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0000F3E"/>
    <w:multiLevelType w:val="hybridMultilevel"/>
    <w:tmpl w:val="00000099"/>
    <w:lvl w:ilvl="0">
      <w:start w:val="1"/>
      <w:numFmt w:val="bullet"/>
      <w:lvlText w:val="•"/>
      <w:lvlJc w:val="left"/>
      <w:pPr>
        <w:tabs>
          <w:tab w:val="num" w:pos="720"/>
        </w:tabs>
        <w:ind w:left="720" w:hanging="360"/>
      </w:pPr>
    </w:lvl>
    <w:lvl w:ilvl="1">
      <w:start w:val="1"/>
      <w:numFmt w:val="bullet"/>
      <w:lvlText w:val="&amp;"/>
      <w:lvlJc w:val="left"/>
      <w:pPr>
        <w:tabs>
          <w:tab w:val="num" w:pos="1440"/>
        </w:tabs>
        <w:ind w:left="1440" w:hanging="360"/>
      </w:pPr>
    </w:lvl>
    <w:lvl w:ilvl="2">
      <w:start w:val="6"/>
      <w:numFmt w:val="decimal"/>
      <w:lvlText w:val="2.%3"/>
      <w:lvlJc w:val="left"/>
      <w:pPr>
        <w:tabs>
          <w:tab w:val="num" w:pos="2160"/>
        </w:tabs>
        <w:ind w:left="2160" w:hanging="360"/>
      </w:pPr>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00001238"/>
    <w:multiLevelType w:val="hybridMultilevel"/>
    <w:tmpl w:val="00003B25"/>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0001547"/>
    <w:multiLevelType w:val="hybridMultilevel"/>
    <w:tmpl w:val="000054DE"/>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00001CD0"/>
    <w:multiLevelType w:val="hybridMultilevel"/>
    <w:tmpl w:val="0000366B"/>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0002350"/>
    <w:multiLevelType w:val="hybridMultilevel"/>
    <w:tmpl w:val="000022EE"/>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0000260D"/>
    <w:multiLevelType w:val="hybridMultilevel"/>
    <w:tmpl w:val="00006B89"/>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000026A6"/>
    <w:multiLevelType w:val="hybridMultilevel"/>
    <w:tmpl w:val="0000701F"/>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00002C3B"/>
    <w:multiLevelType w:val="hybridMultilevel"/>
    <w:tmpl w:val="000015A1"/>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00002CD6"/>
    <w:multiLevelType w:val="hybridMultilevel"/>
    <w:tmpl w:val="000072AE"/>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00002D12"/>
    <w:multiLevelType w:val="hybridMultilevel"/>
    <w:tmpl w:val="0000074D"/>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00002EA6"/>
    <w:multiLevelType w:val="hybridMultilevel"/>
    <w:tmpl w:val="000012DB"/>
    <w:lvl w:ilvl="0">
      <w:start w:val="1"/>
      <w:numFmt w:val="bullet"/>
      <w:lvlText w:val="•"/>
      <w:lvlJc w:val="left"/>
      <w:pPr>
        <w:tabs>
          <w:tab w:val="num" w:pos="720"/>
        </w:tabs>
        <w:ind w:left="720" w:hanging="360"/>
      </w:pPr>
    </w:lvl>
    <w:lvl w:ilvl="1">
      <w:start w:val="1"/>
      <w:numFmt w:val="bullet"/>
      <w:lvlText w:val="&amp;"/>
      <w:lvlJc w:val="left"/>
      <w:pPr>
        <w:tabs>
          <w:tab w:val="num" w:pos="1440"/>
        </w:tabs>
        <w:ind w:left="1440" w:hanging="360"/>
      </w:pPr>
    </w:lvl>
    <w:lvl w:ilvl="2">
      <w:start w:val="4"/>
      <w:numFmt w:val="decimal"/>
      <w:lvlText w:val="3.%3"/>
      <w:lvlJc w:val="left"/>
      <w:pPr>
        <w:tabs>
          <w:tab w:val="num" w:pos="2160"/>
        </w:tabs>
        <w:ind w:left="2160" w:hanging="360"/>
      </w:pPr>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0000301C"/>
    <w:multiLevelType w:val="hybridMultilevel"/>
    <w:tmpl w:val="00000BDB"/>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0000314F"/>
    <w:multiLevelType w:val="hybridMultilevel"/>
    <w:tmpl w:val="00005E14"/>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00003BF6"/>
    <w:multiLevelType w:val="hybridMultilevel"/>
    <w:tmpl w:val="00003A9E"/>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
    <w:nsid w:val="00003E12"/>
    <w:multiLevelType w:val="hybridMultilevel"/>
    <w:tmpl w:val="00001A49"/>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00003EF6"/>
    <w:multiLevelType w:val="hybridMultilevel"/>
    <w:tmpl w:val="00000822"/>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8">
    <w:nsid w:val="000041BB"/>
    <w:multiLevelType w:val="hybridMultilevel"/>
    <w:tmpl w:val="000026E9"/>
    <w:lvl w:ilvl="0">
      <w:start w:val="1"/>
      <w:numFmt w:val="bullet"/>
      <w:lvlText w:val="•"/>
      <w:lvlJc w:val="left"/>
      <w:pPr>
        <w:tabs>
          <w:tab w:val="num" w:pos="720"/>
        </w:tabs>
        <w:ind w:left="720" w:hanging="360"/>
      </w:pPr>
    </w:lvl>
    <w:lvl w:ilvl="1">
      <w:start w:val="9"/>
      <w:numFmt w:val="decimal"/>
      <w:lvlText w:val="0.%2"/>
      <w:lvlJc w:val="left"/>
      <w:pPr>
        <w:tabs>
          <w:tab w:val="num" w:pos="1440"/>
        </w:tabs>
        <w:ind w:left="1440" w:hanging="36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00004230"/>
    <w:multiLevelType w:val="hybridMultilevel"/>
    <w:tmpl w:val="00007EB7"/>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0000491C"/>
    <w:multiLevelType w:val="hybridMultilevel"/>
    <w:tmpl w:val="00004D06"/>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00004944"/>
    <w:multiLevelType w:val="hybridMultilevel"/>
    <w:tmpl w:val="00002E40"/>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2">
    <w:nsid w:val="00004E45"/>
    <w:multiLevelType w:val="hybridMultilevel"/>
    <w:tmpl w:val="0000323B"/>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
    <w:nsid w:val="00005878"/>
    <w:multiLevelType w:val="hybridMultilevel"/>
    <w:tmpl w:val="00006B36"/>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4">
    <w:nsid w:val="00005F49"/>
    <w:multiLevelType w:val="hybridMultilevel"/>
    <w:tmpl w:val="00000DDC"/>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00005F90"/>
    <w:multiLevelType w:val="hybridMultilevel"/>
    <w:tmpl w:val="00001649"/>
    <w:lvl w:ilvl="0">
      <w:start w:val="1"/>
      <w:numFmt w:val="bullet"/>
      <w:lvlText w:val="•"/>
      <w:lvlJc w:val="left"/>
      <w:pPr>
        <w:tabs>
          <w:tab w:val="num" w:pos="720"/>
        </w:tabs>
        <w:ind w:left="720" w:hanging="360"/>
      </w:pPr>
    </w:lvl>
    <w:lvl w:ilvl="1">
      <w:start w:val="7"/>
      <w:numFmt w:val="decimal"/>
      <w:lvlText w:val="3.%2"/>
      <w:lvlJc w:val="left"/>
      <w:pPr>
        <w:tabs>
          <w:tab w:val="num" w:pos="1440"/>
        </w:tabs>
        <w:ind w:left="1440" w:hanging="36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6">
    <w:nsid w:val="00006443"/>
    <w:multiLevelType w:val="hybridMultilevel"/>
    <w:tmpl w:val="000066BB"/>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00006784"/>
    <w:multiLevelType w:val="hybridMultilevel"/>
    <w:tmpl w:val="00004AE1"/>
    <w:lvl w:ilvl="0">
      <w:start w:val="6"/>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8">
    <w:nsid w:val="00006BFC"/>
    <w:multiLevelType w:val="hybridMultilevel"/>
    <w:tmpl w:val="00007F96"/>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00006E5D"/>
    <w:multiLevelType w:val="hybridMultilevel"/>
    <w:tmpl w:val="00001AD4"/>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0">
    <w:nsid w:val="00007A5A"/>
    <w:multiLevelType w:val="hybridMultilevel"/>
    <w:tmpl w:val="0000767D"/>
    <w:lvl w:ilvl="0">
      <w:start w:val="1"/>
      <w:numFmt w:val="bullet"/>
      <w:lvlText w:val="•"/>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0"/>
  </w:num>
  <w:num w:numId="2">
    <w:abstractNumId w:val="27"/>
  </w:num>
  <w:num w:numId="3">
    <w:abstractNumId w:val="10"/>
  </w:num>
  <w:num w:numId="4">
    <w:abstractNumId w:val="25"/>
  </w:num>
  <w:num w:numId="5">
    <w:abstractNumId w:val="18"/>
  </w:num>
  <w:num w:numId="6">
    <w:abstractNumId w:val="12"/>
  </w:num>
  <w:num w:numId="7">
    <w:abstractNumId w:val="2"/>
  </w:num>
  <w:num w:numId="8">
    <w:abstractNumId w:val="20"/>
  </w:num>
  <w:num w:numId="9">
    <w:abstractNumId w:val="4"/>
  </w:num>
  <w:num w:numId="10">
    <w:abstractNumId w:val="11"/>
  </w:num>
  <w:num w:numId="11">
    <w:abstractNumId w:val="26"/>
  </w:num>
  <w:num w:numId="12">
    <w:abstractNumId w:val="8"/>
  </w:num>
  <w:num w:numId="13">
    <w:abstractNumId w:val="30"/>
  </w:num>
  <w:num w:numId="14">
    <w:abstractNumId w:val="3"/>
  </w:num>
  <w:num w:numId="15">
    <w:abstractNumId w:val="29"/>
  </w:num>
  <w:num w:numId="16">
    <w:abstractNumId w:val="28"/>
  </w:num>
  <w:num w:numId="17">
    <w:abstractNumId w:val="22"/>
  </w:num>
  <w:num w:numId="18">
    <w:abstractNumId w:val="7"/>
  </w:num>
  <w:num w:numId="19">
    <w:abstractNumId w:val="13"/>
  </w:num>
  <w:num w:numId="20">
    <w:abstractNumId w:val="1"/>
  </w:num>
  <w:num w:numId="21">
    <w:abstractNumId w:val="6"/>
  </w:num>
  <w:num w:numId="22">
    <w:abstractNumId w:val="23"/>
  </w:num>
  <w:num w:numId="23">
    <w:abstractNumId w:val="16"/>
  </w:num>
  <w:num w:numId="24">
    <w:abstractNumId w:val="15"/>
  </w:num>
  <w:num w:numId="25">
    <w:abstractNumId w:val="24"/>
  </w:num>
  <w:num w:numId="26">
    <w:abstractNumId w:val="14"/>
  </w:num>
  <w:num w:numId="27">
    <w:abstractNumId w:val="21"/>
  </w:num>
  <w:num w:numId="28">
    <w:abstractNumId w:val="5"/>
  </w:num>
  <w:num w:numId="29">
    <w:abstractNumId w:val="19"/>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smallFrac/>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D1C5A021-A510-4C8A-9A3F-1057B3B7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8FE"/>
    <w:pPr>
      <w:spacing w:after="160" w:line="259" w:lineRule="auto"/>
    </w:pPr>
    <w:rPr>
      <w:sz w:val="22"/>
      <w:szCs w:val="22"/>
    </w:rPr>
  </w:style>
  <w:style w:type="paragraph" w:styleId="Heading1">
    <w:name w:val="heading 1"/>
    <w:basedOn w:val="Normal"/>
    <w:next w:val="Normal"/>
    <w:link w:val="Balk1Char"/>
    <w:uiPriority w:val="9"/>
    <w:qFormat/>
    <w:rsid w:val="00A45A05"/>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k1Char">
    <w:name w:val="Başlık 1 Char"/>
    <w:link w:val="Heading1"/>
    <w:uiPriority w:val="9"/>
    <w:rsid w:val="00A45A05"/>
    <w:rPr>
      <w:rFonts w:ascii="Cambria" w:hAnsi="Cambria"/>
      <w:b/>
      <w:bCs/>
      <w:kern w:val="32"/>
      <w:sz w:val="32"/>
      <w:szCs w:val="32"/>
    </w:rPr>
  </w:style>
  <w:style w:type="paragraph" w:styleId="ListParagraph">
    <w:name w:val="List Paragraph"/>
    <w:basedOn w:val="Normal"/>
    <w:uiPriority w:val="34"/>
    <w:qFormat/>
    <w:rsid w:val="00A45A05"/>
    <w:pPr>
      <w:ind w:left="708"/>
    </w:pPr>
  </w:style>
  <w:style w:type="paragraph" w:styleId="NoSpacing">
    <w:name w:val="No Spacing"/>
    <w:uiPriority w:val="1"/>
    <w:qFormat/>
    <w:rsid w:val="00A45A05"/>
    <w:rPr>
      <w:sz w:val="22"/>
      <w:szCs w:val="22"/>
    </w:rPr>
  </w:style>
  <w:style w:type="paragraph" w:styleId="BalloonText">
    <w:name w:val="Balloon Text"/>
    <w:basedOn w:val="Normal"/>
    <w:link w:val="BalonMetniChar"/>
    <w:uiPriority w:val="99"/>
    <w:semiHidden/>
    <w:unhideWhenUsed/>
    <w:rsid w:val="004D120C"/>
    <w:pPr>
      <w:spacing w:after="0" w:line="240" w:lineRule="auto"/>
    </w:pPr>
    <w:rPr>
      <w:rFonts w:ascii="Tahoma" w:hAnsi="Tahoma" w:cs="Tahoma"/>
      <w:sz w:val="16"/>
      <w:szCs w:val="16"/>
    </w:rPr>
  </w:style>
  <w:style w:type="character" w:customStyle="1" w:styleId="BalonMetniChar">
    <w:name w:val="Balon Metni Char"/>
    <w:basedOn w:val="DefaultParagraphFont"/>
    <w:link w:val="BalloonText"/>
    <w:uiPriority w:val="99"/>
    <w:semiHidden/>
    <w:rsid w:val="004D1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customXml" Target="../customXml/item1.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jpe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3.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image" Target="media/image69.jpeg" /><Relationship Id="rId74" Type="http://schemas.openxmlformats.org/officeDocument/2006/relationships/image" Target="media/image70.jpeg" /><Relationship Id="rId75" Type="http://schemas.openxmlformats.org/officeDocument/2006/relationships/theme" Target="theme/theme1.xml" /><Relationship Id="rId76" Type="http://schemas.openxmlformats.org/officeDocument/2006/relationships/numbering" Target="numbering.xml" /><Relationship Id="rId77" Type="http://schemas.openxmlformats.org/officeDocument/2006/relationships/styles" Target="styles.xml"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A667-E527-4597-B825-997914E7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22102</Words>
  <Characters>125982</Characters>
  <Application>Microsoft Office Word</Application>
  <DocSecurity>0</DocSecurity>
  <Lines>1049</Lines>
  <Paragraphs>295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Grizli777</Company>
  <LinksUpToDate>false</LinksUpToDate>
  <CharactersWithSpaces>147789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dc:creator>
  <cp:lastModifiedBy>Turindo</cp:lastModifiedBy>
  <cp:revision>2</cp:revision>
  <dcterms:created xsi:type="dcterms:W3CDTF">2019-11-29T11:17:00Z</dcterms:created>
  <dcterms:modified xsi:type="dcterms:W3CDTF">2019-11-29T11:17:00Z</dcterms:modified>
</cp:coreProperties>
</file>